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ПО ФРАНШИЗЕ ИЗ-ЗА ЛОЖНЫХ ОБЕЩАНИЙ, НЕПЕРЕДАННЫХ ПРАВ ИЛИ СУЩЕСТВЕННОГО НАРУШЕНИЯ ДОГОВОРА</w:t>
      </w:r>
    </w:p>
    <w:p>
      <w:r>
        <w:t>Слово «франшиза» не определяет вид договора. Перед отправкой установите, является ли договор коммерческой концессией, лицензией, услугами, поставкой или смешанным договором.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Договор, дата, стороны, паушальный взнос/иные платежи.</w:t>
      </w:r>
    </w:p>
    <w:p>
      <w:pPr>
        <w:pStyle w:val="ListBullet"/>
      </w:pPr>
      <w:r>
        <w:t>Конкретные заверения до заключения договора: выручка, расходы, окупаемость, товарный знак, территория, количество точек, лиды и поддержка.</w:t>
      </w:r>
    </w:p>
    <w:p>
      <w:pPr>
        <w:pStyle w:val="ListBullet"/>
      </w:pPr>
      <w:r>
        <w:t>Какие обещанные права, обучение, реклама, ПО, поставки или сопровождение не предоставлены.</w:t>
      </w:r>
    </w:p>
    <w:p>
      <w:pPr>
        <w:pStyle w:val="ListBullet"/>
      </w:pPr>
      <w:r>
        <w:t>Как недостоверность заверений/нарушение повлияли на решение заключить договор и вызвали убытки.</w:t>
      </w:r>
    </w:p>
    <w:p>
      <w:pPr>
        <w:pStyle w:val="Heading2"/>
      </w:pPr>
      <w:r>
        <w:t>Правовое основание</w:t>
      </w:r>
    </w:p>
    <w:p>
      <w:r>
        <w:t>Статьи 15, 178, 179, 393, 431.2, 450, 1027–1032 и 1037 ГК РФ — в зависимости от вида договора. При коммерческой концессии предоставление комплекса исключительных прав подлежит государственной регистрации.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Предоставить подтверждения спорных заверений и исполнения обязательств.</w:t>
      </w:r>
    </w:p>
    <w:p>
      <w:pPr>
        <w:pStyle w:val="ListNumber"/>
      </w:pPr>
      <w:r>
        <w:t>Устранить нарушение в срок [___] либо признать отказ/расторжение договора с [дата] — выбрать правовую конструкцию по договору.</w:t>
      </w:r>
    </w:p>
    <w:p>
      <w:pPr>
        <w:pStyle w:val="ListNumber"/>
      </w:pPr>
      <w:r>
        <w:t>Вернуть платежи в подлежащей возврату части — [___] руб.</w:t>
      </w:r>
    </w:p>
    <w:p>
      <w:pPr>
        <w:pStyle w:val="ListNumber"/>
      </w:pPr>
      <w:r>
        <w:t>Возместить документально подтвержденные убытки — [___] руб. и/или уплатить договорную неустойку — при наличии основания.</w:t>
      </w:r>
    </w:p>
    <w:p>
      <w:pPr>
        <w:pStyle w:val="ListNumber"/>
      </w:pPr>
      <w:r>
        <w:t>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Убыточность бизнеса сама по себе не доказывает нарушение или обман.</w:t>
      </w:r>
    </w:p>
    <w:p>
      <w:pPr>
        <w:pStyle w:val="ListBullet"/>
      </w:pPr>
      <w:r>
        <w:t>Для предпринимательской покупки Закон о защите прав потребителей обычно не применяется.</w:t>
      </w:r>
    </w:p>
    <w:p>
      <w:pPr>
        <w:pStyle w:val="ListBullet"/>
      </w:pPr>
      <w:r>
        <w:t>Если спор передается в арбитраж как денежный договорный спор, проверьте договорный порядок и общий 30-дневный досудебный срок по части 5 статьи 4 АПК РФ.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 и приложения</w:t>
      </w:r>
    </w:p>
    <w:p>
      <w:pPr>
        <w:pStyle w:val="ListBullet"/>
      </w:pPr>
      <w:r>
        <w:t>презентация/финансовая модель</w:t>
      </w:r>
    </w:p>
    <w:p>
      <w:pPr>
        <w:pStyle w:val="ListBullet"/>
      </w:pPr>
      <w:r>
        <w:t>реклама и переписка до оплаты</w:t>
      </w:r>
    </w:p>
    <w:p>
      <w:pPr>
        <w:pStyle w:val="ListBullet"/>
      </w:pPr>
      <w:r>
        <w:t>сведения Роспатента о товарном знаке/регистрации прав</w:t>
      </w:r>
    </w:p>
    <w:p>
      <w:pPr>
        <w:pStyle w:val="ListBullet"/>
      </w:pPr>
      <w:r>
        <w:t>платежи и расчет убытков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