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ПРЕТЕНЗИЯ ЗАКАЗЧИКУ ОБ ОПЛАТЕ РАБОТЫ ФРИЛАНСЕРА ПРИ ОТСУТСТВИИ ПОДПИСАННОГО ДОГОВОРА</w:t>
      </w:r>
    </w:p>
    <w:p>
      <w:r>
        <w:t>Отсутствие одного подписанного файла не означает отсутствие договора. В претензии восстановите условия из переписки, задания, счетов, частичной оплаты, передачи и использования результата.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Кто является заказчиком и кто вел переписку от его имени.</w:t>
      </w:r>
    </w:p>
    <w:p>
      <w:pPr>
        <w:pStyle w:val="ListBullet"/>
      </w:pPr>
      <w:r>
        <w:t>Задание, объем, цена/порядок определения цены и срок.</w:t>
      </w:r>
    </w:p>
    <w:p>
      <w:pPr>
        <w:pStyle w:val="ListBullet"/>
      </w:pPr>
      <w:r>
        <w:t>Когда и как результат передан, принят или фактически использован.</w:t>
      </w:r>
    </w:p>
    <w:p>
      <w:pPr>
        <w:pStyle w:val="ListBullet"/>
      </w:pPr>
      <w:r>
        <w:t>Сумма задолженности и дата, когда она должна была быть оплачена.</w:t>
      </w:r>
    </w:p>
    <w:p>
      <w:pPr>
        <w:pStyle w:val="Heading2"/>
      </w:pPr>
      <w:r>
        <w:t>Правовое основание</w:t>
      </w:r>
    </w:p>
    <w:p>
      <w:r>
        <w:t>Статьи 160–162, 309, 314, 395, 424, 702, 711, 720, 779 и 781 ГК РФ; в зависимости от результата — нормы об авторском заказе/интеллектуальных правах.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Оплатить задолженность — [___] руб.</w:t>
      </w:r>
    </w:p>
    <w:p>
      <w:pPr>
        <w:pStyle w:val="ListNumber"/>
      </w:pPr>
      <w:r>
        <w:t>Уплатить проценты по статье 395 ГК РФ — при наличии оснований и расчета.</w:t>
      </w:r>
    </w:p>
    <w:p>
      <w:pPr>
        <w:pStyle w:val="ListNumber"/>
      </w:pPr>
      <w:r>
        <w:t>Подписать акт/направить мотивированные замечания по результату, если это соответствует согласованной процедуре.</w:t>
      </w:r>
    </w:p>
    <w:p>
      <w:pPr>
        <w:pStyle w:val="ListNumber"/>
      </w:pPr>
      <w:r>
        <w:t>Сохранить переписку, файлы и сведения о фактическом использовании результата.</w:t>
      </w:r>
    </w:p>
    <w:p>
      <w:pPr>
        <w:pStyle w:val="ListNumber"/>
      </w:pPr>
      <w:r>
        <w:t>Предоставить письменный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Электронные сообщения могут подтверждать письменную форму, если позволяют воспроизвести условия и достоверно определить отправителя.</w:t>
      </w:r>
    </w:p>
    <w:p>
      <w:pPr>
        <w:pStyle w:val="ListBullet"/>
      </w:pPr>
      <w:r>
        <w:t>Если спор между предпринимателями/ИП/самозанятым и организацией относится к арбитражу, проверьте 30-дневный досудебный срок по части 5 статьи 4 АПК РФ; для суда общей юрисдикции общего такого правила нет.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экспорт переписки</w:t>
      </w:r>
    </w:p>
    <w:p>
      <w:pPr>
        <w:pStyle w:val="ListBullet"/>
      </w:pPr>
      <w:r>
        <w:t>техническое задание</w:t>
      </w:r>
    </w:p>
    <w:p>
      <w:pPr>
        <w:pStyle w:val="ListBullet"/>
      </w:pPr>
      <w:r>
        <w:t>версии файлов/ссылки</w:t>
      </w:r>
    </w:p>
    <w:p>
      <w:pPr>
        <w:pStyle w:val="ListBullet"/>
      </w:pPr>
      <w:r>
        <w:t>счета и платежи</w:t>
      </w:r>
    </w:p>
    <w:p>
      <w:pPr>
        <w:pStyle w:val="ListBullet"/>
      </w:pPr>
      <w:r>
        <w:t>доказательства передачи/использования</w:t>
      </w:r>
    </w:p>
    <w:p>
      <w:pPr>
        <w:pStyle w:val="ListBullet"/>
      </w:pPr>
      <w:r>
        <w:t>расчет долга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