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МАРКЕТПЛЕЙСУ О НЕОБОСНОВАННОЙ БЛОКИРОВКЕ КАБИНЕТА И ВЫПЛАТ</w:t>
      </w:r>
    </w:p>
    <w:p>
      <w:r>
        <w:t>Претензия разделяет требования о доступе к кабинету, отмене конкретных санкций и выплате уже заработанных сумм.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Договор/оферта и статус продавца.</w:t>
      </w:r>
    </w:p>
    <w:p>
      <w:pPr>
        <w:pStyle w:val="ListBullet"/>
      </w:pPr>
      <w:r>
        <w:t>Причина блокировки по уведомлению платформы.</w:t>
      </w:r>
    </w:p>
    <w:p>
      <w:pPr>
        <w:pStyle w:val="ListBullet"/>
      </w:pPr>
      <w:r>
        <w:t>Возражения по факту нарушения и подтверждающие документы.</w:t>
      </w:r>
    </w:p>
    <w:p>
      <w:pPr>
        <w:pStyle w:val="ListBullet"/>
      </w:pPr>
      <w:r>
        <w:t>Сверка продаж, возвратов, логистики, комиссий, штрафов, резервов и подлежащей выплате суммы.</w:t>
      </w:r>
    </w:p>
    <w:p>
      <w:pPr>
        <w:pStyle w:val="Heading2"/>
      </w:pPr>
      <w:r>
        <w:t>Правовое основание</w:t>
      </w:r>
    </w:p>
    <w:p>
      <w:r>
        <w:t>Статьи 10, 15, 309, 310, 330, 395, 401, 431, 431.2 и 450.1 ГК РФ; условия договора платформы. Федеральный закон № 289-ФЗ вступает в силу 01.10.2026 и к более раннему событию автоматически не применяется.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Отменить необоснованную блокировку/санкцию либо дать технически доступный способ исполнения договора — если это соответствует фактам.</w:t>
      </w:r>
    </w:p>
    <w:p>
      <w:pPr>
        <w:pStyle w:val="ListNumber"/>
      </w:pPr>
      <w:r>
        <w:t>Выплатить подтвержденную задолженность — [___] руб.</w:t>
      </w:r>
    </w:p>
    <w:p>
      <w:pPr>
        <w:pStyle w:val="ListNumber"/>
      </w:pPr>
      <w:r>
        <w:t>Скорректировать необоснованные штрафы/удержания — [___] руб.</w:t>
      </w:r>
    </w:p>
    <w:p>
      <w:pPr>
        <w:pStyle w:val="ListNumber"/>
      </w:pPr>
      <w:r>
        <w:t>Возместить документально подтвержденные убытки — [___] руб. при наличии причинной связи.</w:t>
      </w:r>
    </w:p>
    <w:p>
      <w:pPr>
        <w:pStyle w:val="ListNumber"/>
      </w:pPr>
      <w:r>
        <w:t>Предоставить мотивированный ответ и акт сверки.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Если спор денежный и рассматривается арбитражным судом, по общему правилу часть 5 статьи 4 АПК РФ требует дождаться 30 календарных дней после направления претензии, если законом или договором не установлен иной срок.</w:t>
      </w:r>
    </w:p>
    <w:p>
      <w:pPr>
        <w:pStyle w:val="ListBullet"/>
      </w:pPr>
      <w:r>
        <w:t>Для события после 01.10.2026 заново проверьте специальную процедуру Федерального закона № 289-ФЗ.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оферта нужной редакции</w:t>
      </w:r>
    </w:p>
    <w:p>
      <w:pPr>
        <w:pStyle w:val="ListBullet"/>
      </w:pPr>
      <w:r>
        <w:t>уведомление и внутреннее возражение</w:t>
      </w:r>
    </w:p>
    <w:p>
      <w:pPr>
        <w:pStyle w:val="ListBullet"/>
      </w:pPr>
      <w:r>
        <w:t>отчеты и акты сверки</w:t>
      </w:r>
    </w:p>
    <w:p>
      <w:pPr>
        <w:pStyle w:val="ListBullet"/>
      </w:pPr>
      <w:r>
        <w:t>документы на товар/маркировку/права</w:t>
      </w:r>
    </w:p>
    <w:p>
      <w:pPr>
        <w:pStyle w:val="ListBullet"/>
      </w:pPr>
      <w:r>
        <w:t>расчет задолженности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