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МФО о перерасчёте процентов, неустойки и навязанных услуг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№337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после получения полного расчёта долга. Ограничения применяются в редакции закона, действовавшей для конкретного договора; проценты, неустойка и дополнительные услуги проверяются раздельно.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[МФО, адрес, e-mail]</w:t>
      </w:r>
    </w:p>
    <w:p>
      <w:pPr>
        <w:spacing w:after="40"/>
        <w:jc w:val="left"/>
      </w:pPr>
      <w:r>
        <w:rPr>
          <w:color w:val="14213D"/>
          <w:sz w:val="20"/>
        </w:rPr>
        <w:t>От заёмщика: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Договор займа № [номер] от [дата]</w:t>
      </w:r>
    </w:p>
    <w:p>
      <w:pPr>
        <w:pStyle w:val="Heading1"/>
      </w:pPr>
      <w:r>
        <w:t>ПРЕТЕНЗИЯ О ПЕРЕРАСЧЁТЕ ЗАДОЛЖЕННОСТИ ПО МИКРОЗАЙМУ</w:t>
      </w:r>
    </w:p>
    <w:p>
      <w:r>
        <w:t>По договору получено [сумма] руб., уплачено [сумма] руб. На [дата] МФО требует [сумма] руб., включая: основной долг [___], проценты [___], неустойку [___], услуги [___]. Расчёт оспариваю в части [конкретно].</w:t>
      </w:r>
    </w:p>
    <w:p>
      <w:r>
        <w:t>По моему контррасчёту с учётом даты договора, предельной дневной ставки, предельных начислений и ограничений неустойки задолженность составляет [сумма] руб. / переплата [сумма] руб.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Предоставить помесячный / подневный расчёт каждого начисления и поступившего платежа.</w:t>
      </w:r>
    </w:p>
    <w:p>
      <w:pPr>
        <w:pStyle w:val="ListNumber"/>
        <w:numPr>
          <w:ilvl w:val="0"/>
          <w:numId w:val="10"/>
        </w:numPr>
      </w:pPr>
      <w:r>
        <w:t>Исключить начисления сверх ограничений, применимых к договору на дату его заключения, и незаконную плату за услуги [название].</w:t>
      </w:r>
    </w:p>
    <w:p>
      <w:pPr>
        <w:pStyle w:val="ListNumber"/>
        <w:numPr>
          <w:ilvl w:val="0"/>
          <w:numId w:val="10"/>
        </w:numPr>
      </w:pPr>
      <w:r>
        <w:t>Произвести перерасчёт, исправить сведения, переданные в БКИ, и вернуть переплату [сумма] руб. — если она образовалась.</w:t>
      </w:r>
    </w:p>
    <w:p>
      <w:pPr>
        <w:pStyle w:val="ListNumber"/>
        <w:numPr>
          <w:ilvl w:val="0"/>
          <w:numId w:val="10"/>
        </w:numPr>
      </w:pPr>
      <w:r>
        <w:t>Предоставить мотивированный ответ в установленный для обращения срок.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используйте сегодняшние пределы механически для старого договора. В приложении покажите отдельными строками тело займа, проценты, неустойку, услуги и все платежи.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и индивидуальные условия;</w:t>
      </w:r>
    </w:p>
    <w:p>
      <w:pPr>
        <w:pStyle w:val="ListBullet"/>
        <w:numPr>
          <w:ilvl w:val="0"/>
          <w:numId w:val="11"/>
        </w:numPr>
      </w:pPr>
      <w:r>
        <w:t>график и полный расчёт МФО;</w:t>
      </w:r>
    </w:p>
    <w:p>
      <w:pPr>
        <w:pStyle w:val="ListBullet"/>
        <w:numPr>
          <w:ilvl w:val="0"/>
          <w:numId w:val="11"/>
        </w:numPr>
      </w:pPr>
      <w:r>
        <w:t>выписки и чеки платежей;</w:t>
      </w:r>
    </w:p>
    <w:p>
      <w:pPr>
        <w:pStyle w:val="ListBullet"/>
        <w:numPr>
          <w:ilvl w:val="0"/>
          <w:numId w:val="11"/>
        </w:numPr>
      </w:pPr>
      <w:r>
        <w:t>контррасчёт;</w:t>
      </w:r>
    </w:p>
    <w:p>
      <w:pPr>
        <w:pStyle w:val="ListBullet"/>
        <w:numPr>
          <w:ilvl w:val="0"/>
          <w:numId w:val="11"/>
        </w:numPr>
      </w:pPr>
      <w:r>
        <w:t>документы по дополнительным услугам;</w:t>
      </w:r>
    </w:p>
    <w:p>
      <w:pPr>
        <w:pStyle w:val="ListBullet"/>
        <w:numPr>
          <w:ilvl w:val="0"/>
          <w:numId w:val="11"/>
        </w:numPr>
      </w:pPr>
      <w:r>
        <w:t>кредитный отчёт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5, 6, 12 и 21 Федерального закона № 353-ФЗ; статьи 12.1 и 9.1 Федерального закона № 151-ФЗ; статьи 10, 12, 16 и 32 Закона РФ № 2300-1; статьи 333 и 809 ГК РФ — в применимой редакции.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