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Претензия застройщику о неустойке за просрочку передачи объекта по ДДУ</w:t>
      </w:r>
    </w:p>
    <w:p>
      <w:pPr>
        <w:pStyle w:val="SmallNote"/>
      </w:pPr>
      <w:r>
        <w:t>Категория: Претензии  •  Статья сайта: №230</w:t>
      </w:r>
    </w:p>
    <w:p>
      <w:pPr>
        <w:pStyle w:val="SmallNote"/>
      </w:pPr>
      <w:r>
        <w:rPr>
          <w:color w:val="676767"/>
        </w:rPr>
        <w:t>Структура: ОБРАЩЕНИЕ: адресат и заявитель • обстоятельства • правовые основания • просьбы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Срок передачи по зарегистрированному ДДУ истёк, объект не передан либо передан позднее. Расчёт ведётся по периодам с учётом действовавших специальных правил.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left"/>
      </w:pPr>
      <w:r>
        <w:rPr>
          <w:color w:val="14213D"/>
          <w:sz w:val="20"/>
        </w:rPr>
        <w:t>Застройщику: [наименование, ИНН/ОГРН, адрес]</w:t>
      </w:r>
    </w:p>
    <w:p>
      <w:pPr>
        <w:spacing w:after="40"/>
        <w:jc w:val="left"/>
      </w:pPr>
      <w:r>
        <w:rPr>
          <w:color w:val="14213D"/>
          <w:sz w:val="20"/>
        </w:rPr>
        <w:t>От участника ДДУ: [ФИО/организация, адрес, контакты]</w:t>
      </w:r>
    </w:p>
    <w:p>
      <w:pPr>
        <w:spacing w:after="40"/>
        <w:jc w:val="left"/>
      </w:pPr>
      <w:r>
        <w:rPr>
          <w:color w:val="14213D"/>
          <w:sz w:val="20"/>
        </w:rPr>
        <w:t>ДДУ № [номер] от [дата] • объект [описание]</w:t>
      </w:r>
    </w:p>
    <w:p>
      <w:pPr>
        <w:pStyle w:val="Heading1"/>
      </w:pPr>
      <w:r>
        <w:t>ПРЕТЕНЗИЯ О ВЫПЛАТЕ НЕУСТОЙКИ ЗА НАРУШЕНИЕ СРОКА ПЕРЕДАЧИ ОБЪЕКТА</w:t>
      </w:r>
    </w:p>
    <w:p>
      <w:pPr>
        <w:pStyle w:val="Heading2"/>
      </w:pPr>
      <w:r>
        <w:t>ОБСТОЯТЕЛЬСТВА</w:t>
      </w:r>
    </w:p>
    <w:p>
      <w:r>
        <w:t>ДДУ зарегистрирован [дата], цена [сумма] руб., договорный срок передачи — [дата]. Объект передан [дата] / не передан на дату претензии. Дополнительное соглашение о переносе срока [не подписывалось/условия].</w:t>
      </w:r>
    </w:p>
    <w:p>
      <w:r>
        <w:t>Просрочка и расчёт разделены на периоды. Период с 22.03.2024 по 31.12.2025 в начисление не включён; иные ограничения ставки и отсрочка исполнения проверены по применимой редакции Постановления Правительства РФ № 326.</w:t>
      </w:r>
    </w:p>
    <w:p>
      <w:pPr>
        <w:pStyle w:val="Heading2"/>
      </w:pPr>
      <w:r>
        <w:t>ПРАВОВЫЕ ОСНОВАНИЯ</w:t>
      </w:r>
    </w:p>
    <w:p>
      <w:r>
        <w:t>Часть 2 статьи 6 Закона № 214-ФЗ устанавливает неустойку 1/300 ставки рефинансирования от цены договора за день просрочки; для гражданина для личных нужд размер удваивается. Специальные правила № 326 изменяют учитываемые периоды, ставку и исполнение отдельных требований; они не позволяют считать одной формулой весь календарный период.</w:t>
      </w:r>
    </w:p>
    <w:p>
      <w:pPr>
        <w:pStyle w:val="Heading2"/>
      </w:pPr>
      <w:r>
        <w:t>ПРОШУ / ТРЕБУЮ</w:t>
      </w:r>
    </w:p>
    <w:p>
      <w:pPr>
        <w:pStyle w:val="ListNumber"/>
        <w:numPr>
          <w:ilvl w:val="0"/>
          <w:numId w:val="10"/>
        </w:numPr>
      </w:pPr>
      <w:r>
        <w:t>Выплатить неустойку [сумма] руб. по приложенному поквартальному/периодному расчёту.</w:t>
      </w:r>
    </w:p>
    <w:p>
      <w:pPr>
        <w:pStyle w:val="ListNumber"/>
        <w:numPr>
          <w:ilvl w:val="0"/>
          <w:numId w:val="10"/>
        </w:numPr>
      </w:pPr>
      <w:r>
        <w:t>Возместить подтверждённые убытки [сумма] руб., не поглощённые неустойкой, при наличии причинной связи.</w:t>
      </w:r>
    </w:p>
    <w:p>
      <w:pPr>
        <w:pStyle w:val="ListNumber"/>
        <w:numPr>
          <w:ilvl w:val="0"/>
          <w:numId w:val="10"/>
        </w:numPr>
      </w:pPr>
      <w:r>
        <w:t>Сообщить фактическую готовность объекта, разрешение на ввод и предложить законную дату передачи.</w:t>
      </w:r>
    </w:p>
    <w:p>
      <w:pPr>
        <w:pStyle w:val="ListNumber"/>
        <w:numPr>
          <w:ilvl w:val="0"/>
          <w:numId w:val="10"/>
        </w:numPr>
      </w:pPr>
      <w:r>
        <w:t>Направить мотивированный ответ и контррасчёт с указанием исключённых периодов и применённой ставки.</w:t>
      </w:r>
    </w:p>
    <w:p>
      <w:pPr>
        <w:pStyle w:val="ListNumber"/>
        <w:numPr>
          <w:ilvl w:val="0"/>
          <w:numId w:val="10"/>
        </w:numPr>
      </w:pPr>
      <w:r>
        <w:t>Уплатить иные суммы только при наличии конкретного законного основания и наступления условий ответственности.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включайте период 22.03.2024–31.12.2025 в неустойку по части 2 статьи 6 Закона № 214-ФЗ. Начисление и фактическое исполнение решения — разные вопросы: до 31.12.2026 могут действовать специальные отсрочки для соответствующих требований.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ДДУ и регистрационные сведения;</w:t>
      </w:r>
    </w:p>
    <w:p>
      <w:pPr>
        <w:pStyle w:val="ListBullet"/>
        <w:numPr>
          <w:ilvl w:val="0"/>
          <w:numId w:val="11"/>
        </w:numPr>
      </w:pPr>
      <w:r>
        <w:t>платёжные документы;</w:t>
      </w:r>
    </w:p>
    <w:p>
      <w:pPr>
        <w:pStyle w:val="ListBullet"/>
        <w:numPr>
          <w:ilvl w:val="0"/>
          <w:numId w:val="11"/>
        </w:numPr>
      </w:pPr>
      <w:r>
        <w:t>уведомления застройщика;</w:t>
      </w:r>
    </w:p>
    <w:p>
      <w:pPr>
        <w:pStyle w:val="ListBullet"/>
        <w:numPr>
          <w:ilvl w:val="0"/>
          <w:numId w:val="11"/>
        </w:numPr>
      </w:pPr>
      <w:r>
        <w:t>акт передачи — если подписан;</w:t>
      </w:r>
    </w:p>
    <w:p>
      <w:pPr>
        <w:pStyle w:val="ListBullet"/>
        <w:numPr>
          <w:ilvl w:val="0"/>
          <w:numId w:val="11"/>
        </w:numPr>
      </w:pPr>
      <w:r>
        <w:t>периодный расчёт;</w:t>
      </w:r>
    </w:p>
    <w:p>
      <w:pPr>
        <w:pStyle w:val="ListBullet"/>
        <w:numPr>
          <w:ilvl w:val="0"/>
          <w:numId w:val="11"/>
        </w:numPr>
      </w:pPr>
      <w:r>
        <w:t>документы об убытках;</w:t>
      </w:r>
    </w:p>
    <w:p>
      <w:pPr>
        <w:pStyle w:val="ListBullet"/>
        <w:numPr>
          <w:ilvl w:val="0"/>
          <w:numId w:val="11"/>
        </w:numPr>
      </w:pPr>
      <w:r>
        <w:t>банковские реквизиты;</w:t>
      </w:r>
    </w:p>
    <w:p>
      <w:pPr>
        <w:pStyle w:val="ListBullet"/>
        <w:numPr>
          <w:ilvl w:val="0"/>
          <w:numId w:val="11"/>
        </w:numPr>
      </w:pPr>
      <w:r>
        <w:t>доказательство вручения.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часть 2 статьи 6, статьи 8–10 Федерального закона № 214-ФЗ; Постановление Правительства РФ от 18.03.2024 № 326 в действующей редакции; Постановление КС РФ от 14.04.2026 № 24-П; статьи 309, 310 и 330 ГК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и правовая основа проверены 29 августа 2026 года. Перед подачей удалите подсказки, выберите только применимые варианты, заполните факты, расчёт и приложения.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№230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