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Претензия перевозчику о возмещении вреда пассажиру</w:t>
      </w:r>
    </w:p>
    <w:p>
      <w:pPr>
        <w:spacing w:after="40"/>
      </w:pPr>
      <w:r>
        <w:rPr>
          <w:b/>
          <w:color w:val="676767"/>
        </w:rPr>
        <w:t>Категория: Претензии  •  Статья сайта: №292–293</w:t>
      </w:r>
    </w:p>
    <w:p>
      <w:pPr>
        <w:spacing w:after="160"/>
      </w:pPr>
      <w:r>
        <w:rPr>
          <w:b/>
          <w:color w:val="676767"/>
          <w:sz w:val="19"/>
        </w:rPr>
        <w:t>Структура: ПРЕТЕНЗИЯ: адресат и заявитель • обстоятельства • правовые основания • требования • срок • приложения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Общий документ к статьям №292 и №293. Используется после фиксации случая и обращения к страховщику: к перевозчику предъявляются непокрытые страхованием суммы и иные требования по его ответственности.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Кому: [перевозчик, адрес]</w:t>
      </w:r>
    </w:p>
    <w:p>
      <w:pPr>
        <w:spacing w:after="40"/>
        <w:jc w:val="left"/>
      </w:pPr>
      <w:r>
        <w:rPr>
          <w:color w:val="14213D"/>
          <w:sz w:val="20"/>
        </w:rPr>
        <w:t>От пассажира: [ФИО, адрес, телефон, e-mail]</w:t>
      </w:r>
    </w:p>
    <w:p>
      <w:pPr>
        <w:spacing w:after="40"/>
        <w:jc w:val="left"/>
      </w:pPr>
      <w:r>
        <w:rPr>
          <w:color w:val="14213D"/>
          <w:sz w:val="20"/>
        </w:rPr>
        <w:t>Происшествие: [дата, маршрут, автобус, акт]</w:t>
      </w:r>
    </w:p>
    <w:p>
      <w:pPr>
        <w:spacing w:after="40"/>
        <w:jc w:val="left"/>
      </w:pPr>
      <w:r>
        <w:rPr>
          <w:color w:val="14213D"/>
          <w:sz w:val="20"/>
        </w:rPr>
        <w:t>Страховщик: [наименование, заявление, выплата / отказ]</w:t>
      </w:r>
    </w:p>
    <w:p>
      <w:pPr>
        <w:pStyle w:val="Heading1"/>
      </w:pPr>
      <w:r>
        <w:t>ПРЕТЕНЗИЯ О ВОЗМЕЩЕНИИ ВРЕДА, ПРИЧИНЁННОГО ПАССАЖИРУ</w:t>
      </w:r>
    </w:p>
    <w:p>
      <w:pPr>
        <w:pStyle w:val="Heading2"/>
      </w:pPr>
      <w:r>
        <w:t>ОБСТОЯТЕЛЬСТВА</w:t>
      </w:r>
    </w:p>
    <w:p>
      <w:r>
        <w:t>При перевозке [дата, маршрут] пассажиру причинён вред в результате [падение при торможении / зажатие дверями]. Травмы подтверждаются [медицинские документы], расходы и утраченный доход — [перечень, сумма].</w:t>
      </w:r>
    </w:p>
    <w:p>
      <w:r>
        <w:t>Страховщику перевозчика направлено заявление [дата]. Выплачено [сумма] руб. / получен отказ [дата, причина] / заявление находится на рассмотрении. К перевозчику предъявляется только непокрытая часть и иные подлежащие возмещению суммы без двойного взыскания.</w:t>
      </w:r>
    </w:p>
    <w:p>
      <w:pPr>
        <w:pStyle w:val="Heading2"/>
      </w:pPr>
      <w:r>
        <w:t>ПРАВОВЫЕ ОСНОВАНИЯ</w:t>
      </w:r>
    </w:p>
    <w:p>
      <w:r>
        <w:t>Ответственность перевозчика и страховая выплата являются связанными, но не тождественными механизмами. Потерпевший вправе требовать от перевозчика часть вреда, превышающую страховое возмещение, а также разрешать иные требования по общим правилам при наличии оснований.</w:t>
      </w:r>
    </w:p>
    <w:p>
      <w:pPr>
        <w:pStyle w:val="Heading2"/>
      </w:pPr>
      <w:r>
        <w:t>ТРЕБУЮ</w:t>
      </w:r>
    </w:p>
    <w:p>
      <w:pPr>
        <w:pStyle w:val="ListNumber"/>
        <w:numPr>
          <w:ilvl w:val="0"/>
          <w:numId w:val="10"/>
        </w:numPr>
      </w:pPr>
      <w:r>
        <w:t>Возместить непокрытые расходы на лечение и восстановление [сумма] руб. по расчёту.</w:t>
      </w:r>
    </w:p>
    <w:p>
      <w:pPr>
        <w:pStyle w:val="ListNumber"/>
        <w:numPr>
          <w:ilvl w:val="0"/>
          <w:numId w:val="10"/>
        </w:numPr>
      </w:pPr>
      <w:r>
        <w:t>Возместить утраченный заработок / доход [сумма] руб., уменьшенный на относящиеся к нему выплаты, если это подтверждено.</w:t>
      </w:r>
    </w:p>
    <w:p>
      <w:pPr>
        <w:pStyle w:val="ListNumber"/>
        <w:numPr>
          <w:ilvl w:val="0"/>
          <w:numId w:val="10"/>
        </w:numPr>
      </w:pPr>
      <w:r>
        <w:t>Возместить повреждённое имущество [сумма] руб. за вычетом страхового возмещения.</w:t>
      </w:r>
    </w:p>
    <w:p>
      <w:pPr>
        <w:pStyle w:val="ListNumber"/>
        <w:numPr>
          <w:ilvl w:val="0"/>
          <w:numId w:val="10"/>
        </w:numPr>
      </w:pPr>
      <w:r>
        <w:t>Компенсировать моральный вред [сумма] руб. при наличии оснований и дать мотивированный ответ.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Не включайте в претензию уже полностью выплаченную страховщиком позицию. Если спор только со страховщиком, сначала проверьте обязательный досудебный порядок и компетенцию финансового уполномоченного.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акт перевозчика и материалы происшествия;</w:t>
      </w:r>
    </w:p>
    <w:p>
      <w:pPr>
        <w:pStyle w:val="ListBullet"/>
        <w:numPr>
          <w:ilvl w:val="0"/>
          <w:numId w:val="11"/>
        </w:numPr>
      </w:pPr>
      <w:r>
        <w:t>билет / оплата поездки;</w:t>
      </w:r>
    </w:p>
    <w:p>
      <w:pPr>
        <w:pStyle w:val="ListBullet"/>
        <w:numPr>
          <w:ilvl w:val="0"/>
          <w:numId w:val="11"/>
        </w:numPr>
      </w:pPr>
      <w:r>
        <w:t>медицинские документы;</w:t>
      </w:r>
    </w:p>
    <w:p>
      <w:pPr>
        <w:pStyle w:val="ListBullet"/>
        <w:numPr>
          <w:ilvl w:val="0"/>
          <w:numId w:val="11"/>
        </w:numPr>
      </w:pPr>
      <w:r>
        <w:t>чеки лечения и ухода;</w:t>
      </w:r>
    </w:p>
    <w:p>
      <w:pPr>
        <w:pStyle w:val="ListBullet"/>
        <w:numPr>
          <w:ilvl w:val="0"/>
          <w:numId w:val="11"/>
        </w:numPr>
      </w:pPr>
      <w:r>
        <w:t>документы о заработке и периоде нетрудоспособности;</w:t>
      </w:r>
    </w:p>
    <w:p>
      <w:pPr>
        <w:pStyle w:val="ListBullet"/>
        <w:numPr>
          <w:ilvl w:val="0"/>
          <w:numId w:val="11"/>
        </w:numPr>
      </w:pPr>
      <w:r>
        <w:t>заявление страховщику, решение и выплата;</w:t>
      </w:r>
    </w:p>
    <w:p>
      <w:pPr>
        <w:pStyle w:val="ListBullet"/>
        <w:numPr>
          <w:ilvl w:val="0"/>
          <w:numId w:val="11"/>
        </w:numPr>
      </w:pPr>
      <w:r>
        <w:t>расчёт каждой суммы;</w:t>
      </w:r>
    </w:p>
    <w:p>
      <w:pPr>
        <w:pStyle w:val="ListBullet"/>
        <w:numPr>
          <w:ilvl w:val="0"/>
          <w:numId w:val="11"/>
        </w:numPr>
      </w:pPr>
      <w:r>
        <w:t>доказательство направления претензии.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15, 151, 1064, 1079, 1085–1094, 1100 и 1101 ГК РФ; статьи 14 и 18 Федерального закона от 14.06.2012 № 67-ФЗ; Закон РФ «О защите прав потребителей» — в применимой части.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29 августа 2026 года. 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№292–293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