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" w:line="230" w:lineRule="auto"/>
        <w:jc w:val="right"/>
      </w:pPr>
      <w:r>
        <w:rPr>
          <w:rFonts w:ascii="Arial" w:hAnsi="Arial"/>
          <w:b w:val="0"/>
          <w:sz w:val="19"/>
        </w:rPr>
        <w:t>Платформе / договорному контрагенту: [наименование]</w:t>
        <w:br/>
        <w:t>адрес / электронный канал: [___]</w:t>
        <w:br/>
        <w:br/>
        <w:t>От: [Ф.И.О./ИП]</w:t>
        <w:br/>
        <w:t>идентификатор аккаунта: [___]</w:t>
        <w:br/>
        <w:t>телефон, e-mail: [___]</w:t>
      </w:r>
    </w:p>
    <w:p>
      <w:pPr>
        <w:keepNext/>
        <w:spacing w:after="40"/>
        <w:jc w:val="center"/>
      </w:pPr>
      <w:r>
        <w:rPr>
          <w:rFonts w:ascii="Arial" w:hAnsi="Arial"/>
          <w:b/>
          <w:sz w:val="24"/>
        </w:rPr>
        <w:t>ПРЕТЕНЗИЯ</w:t>
        <w:br/>
        <w:t>о выплате начисленных чаевых/бонусов и предоставлении реестра расчётов</w:t>
      </w:r>
    </w:p>
    <w:p>
      <w:pPr>
        <w:pStyle w:val="Heading2"/>
      </w:pPr>
      <w:r>
        <w:t>Обстоятельства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По договору/оферте [___] я выполняю/выполнял(а) заказы через платформу [___]. За период [___] в приложении были отражены/обещаны: чаевые пользователей [___] руб.; бонус/поощрение платформы по акции/условиям [___] руб. Фактически перечислено [___] руб.; спорная сумма — [___] руб. Причина невыплаты, указанная сервисом: [___] / не сообщена.</w:t>
      </w:r>
    </w:p>
    <w:p>
      <w:pPr>
        <w:pStyle w:val="Heading2"/>
      </w:pPr>
      <w:r>
        <w:t>Правовая позиция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Необходимо разделять источник денег. Чаевые пользователя и бонус/поощрение платформы могут иметь разные основания и разных должников. Обязанность платформы выплатить бонус возникает не из самого слова «бонус», а из конкретных условий договора/акции и подтверждения их выполнения. Денежные обязательства исполняются надлежащим образом (ст. 309 ГК РФ); одностороннее изменение/отказ оценивается по ст. 310 и 450.1 ГК РФ и условиям договора. При просрочке денежного обязательства может применяться ст. 395 ГК РФ, если иной режим не предусмотрен законом или договором.</w:t>
      </w:r>
    </w:p>
    <w:p>
      <w:pPr>
        <w:pStyle w:val="Heading2"/>
      </w:pPr>
      <w:r>
        <w:t>Требую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1. Предоставить полный реестр расчётов за [период]: заказы, суммы, комиссии, чаевые, бонусы, корректировки, основания списаний.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2. Для каждой спорной суммы указать плательщика/источник, условие выплаты и причину невыплаты.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3. Выплатить подтверждённую задолженность в размере [___] руб. по реквизитам [___].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4. При отказе представить мотивированный ответ со ссылкой на конкретный пункт договора/акции и данные, подтверждающие невыполнение условия.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5. Сохранить электронные данные аккаунта и расчётов до окончательного разрешения спора.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Если фактические отношения имеют признаки трудовых, вопрос выплат может дополнительно оцениваться по ТК РФ; однако клиентские чаевые не становятся заработной платой автоматически, а платформенный бонус является частью оплаты труда только при соответствующей трудовой конструкции.</w:t>
      </w:r>
    </w:p>
    <w:p>
      <w:pPr>
        <w:pStyle w:val="Heading2"/>
      </w:pPr>
      <w:r>
        <w:t>Приложения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1. Договор/оферта и условия бонусной программы.</w:t>
        <w:br/>
        <w:t>2. Скриншоты начислений/чаевых.</w:t>
        <w:br/>
        <w:t>3. Реестр выполненных заказов.</w:t>
        <w:br/>
        <w:t>4. Банковские выписки.</w:t>
        <w:br/>
        <w:t>5. Предварительный расчёт задолженности.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Дата: «___» __________ 20___ года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Партнёр-исполнитель: __________________ /__________________/</w:t>
      </w:r>
    </w:p>
    <w:sectPr w:rsidR="00FC693F" w:rsidRPr="0006063C" w:rsidSect="00034616">
      <w:footerReference w:type="default" r:id="rId9"/>
      <w:pgSz w:w="12240" w:h="15840"/>
      <w:pgMar w:top="677" w:right="878" w:bottom="677" w:left="10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" w:line="230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50" w:after="24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50" w:after="24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