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ПО ПОСУТОЧНОЙ КВАРТИРЕ: ОТМЕНА БРОНИ, НЕСООТВЕТСТВИЕ ОБЪЯВЛЕНИЮ И ВОЗВРАТ ДЕНЕГ</w:t>
      </w:r>
    </w:p>
    <w:p>
      <w:pPr>
        <w:spacing w:after="120"/>
      </w:pPr>
      <w:r>
        <w:t>Адресат зависит от фактической роли: собственник/наймодатель, управляющий или профессиональный исполнитель. Площадке предъявляйте требования только за ее собственные обязанности.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Объявление, адрес, даты, цена, состав гостей и подтверждение брони.</w:t>
      </w:r>
    </w:p>
    <w:p>
      <w:pPr>
        <w:pStyle w:val="ListBullet"/>
      </w:pPr>
      <w:r>
        <w:t>Оплата/аванс и получатель денежных средств.</w:t>
      </w:r>
    </w:p>
    <w:p>
      <w:pPr>
        <w:pStyle w:val="ListBullet"/>
      </w:pPr>
      <w:r>
        <w:t>Отмена хозяином либо конкретные существенные расхождения с объявлением.</w:t>
      </w:r>
    </w:p>
    <w:p>
      <w:pPr>
        <w:pStyle w:val="ListBullet"/>
      </w:pPr>
      <w:r>
        <w:t>Расходы на разумную замену жилья.</w:t>
      </w:r>
    </w:p>
    <w:p>
      <w:pPr>
        <w:pStyle w:val="Heading2"/>
      </w:pPr>
      <w:r>
        <w:t>Правовое основание</w:t>
      </w:r>
    </w:p>
    <w:p>
      <w:r>
        <w:t>Статьи 309, 310, 393, 450.1, 671, 676 и 1102 ГК РФ; при профессиональном оказании услуги — Закон РФ «О защите прав потребителей».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Вернуть аванс/плату за непредоставленное либо существенно несоответствующее жилье — [___] руб.</w:t>
      </w:r>
    </w:p>
    <w:p>
      <w:pPr>
        <w:pStyle w:val="ListNumber"/>
      </w:pPr>
      <w:r>
        <w:t>Возместить подтвержденные разумные убытки, включая разницу стоимости сопоставимой замены — [___] руб.</w:t>
      </w:r>
    </w:p>
    <w:p>
      <w:pPr>
        <w:pStyle w:val="ListNumber"/>
      </w:pPr>
      <w:r>
        <w:t>Предоставить расчет удержаний и правовое основание отказа.</w:t>
      </w:r>
    </w:p>
    <w:p>
      <w:pPr>
        <w:pStyle w:val="ListNumber"/>
      </w:pPr>
      <w:r>
        <w:t>Предоставить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Не смешивайте отмену хозяином с добровольным отказом гостя.</w:t>
      </w:r>
    </w:p>
    <w:p>
      <w:pPr>
        <w:pStyle w:val="ListBullet"/>
      </w:pPr>
      <w:r>
        <w:t>Если ответчик — обычный гражданин, потребительские штрафы и специальные правила применяются не автоматически.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объявление и правила отмены</w:t>
      </w:r>
    </w:p>
    <w:p>
      <w:pPr>
        <w:pStyle w:val="ListBullet"/>
      </w:pPr>
      <w:r>
        <w:t>подтверждение брони и переписка</w:t>
      </w:r>
    </w:p>
    <w:p>
      <w:pPr>
        <w:pStyle w:val="ListBullet"/>
      </w:pPr>
      <w:r>
        <w:t>платежные документы</w:t>
      </w:r>
    </w:p>
    <w:p>
      <w:pPr>
        <w:pStyle w:val="ListBullet"/>
      </w:pPr>
      <w:r>
        <w:t>фото/видео объекта — при несоответствии</w:t>
      </w:r>
    </w:p>
    <w:p>
      <w:pPr>
        <w:pStyle w:val="ListBullet"/>
      </w:pPr>
      <w:r>
        <w:t>чеки за замену жилья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