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продавцу о непередаче заказа через постамат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№479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Продавец или маркетплейс считает заказ полученным только потому, что код был введён, хотя ячейка оказалась пустой. Основное денежное требование обычно адресуется продавцу; копию получают платформа и оператор постамата.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Продавцу: [наименование / ФИО, адрес и данные из карточки товара]</w:t>
      </w:r>
    </w:p>
    <w:p>
      <w:pPr>
        <w:spacing w:after="40"/>
        <w:jc w:val="left"/>
      </w:pPr>
      <w:r>
        <w:rPr>
          <w:color w:val="14213D"/>
          <w:sz w:val="20"/>
        </w:rPr>
        <w:t>Копия: [маркетплейс и оператор постамата]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pStyle w:val="Heading1"/>
      </w:pPr>
      <w:r>
        <w:t>ПРЕТЕНЗИЯ О НЕПЕРЕДАЧЕ ПРЕДВАРИТЕЛЬНО ОПЛАЧЕННОГО ТОВАРА</w:t>
      </w:r>
    </w:p>
    <w:p>
      <w:r>
        <w:t>По заказу № [номер] от [дата] я оплатил(а) товар [название] стоимостью [сумма] руб. [Дата, время] постамат открыл ячейку № [номер], но товар в ней отсутствовал. Фактической передачи мне или указанному мной лицу не было.</w:t>
      </w:r>
    </w:p>
    <w:p>
      <w:r>
        <w:t>Событие зафиксировано обращением № [номер], [фото, видео, свидетель]. Системная отметка после ввода кода подтверждает открытие ячейки, но при указанных обстоятельствах не доказывает нахождение и передачу товара.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[Передать оплаченный товар в новый согласованный срок до ___ / вернуть предоплату в сумме ___ руб.] — выбрать одно основное требование.</w:t>
      </w:r>
    </w:p>
    <w:p>
      <w:pPr>
        <w:pStyle w:val="ListNumber"/>
        <w:numPr>
          <w:ilvl w:val="0"/>
          <w:numId w:val="10"/>
        </w:numPr>
      </w:pPr>
      <w:r>
        <w:t>При возврате денег перечислить их не позднее десяти дней со дня предъявления требования.</w:t>
      </w:r>
    </w:p>
    <w:p>
      <w:pPr>
        <w:pStyle w:val="ListNumber"/>
        <w:numPr>
          <w:ilvl w:val="0"/>
          <w:numId w:val="10"/>
        </w:numPr>
      </w:pPr>
      <w:r>
        <w:t>Выплатить неустойку за нарушение срока передачи предварительно оплаченного товара по статье 23.1 Закона о защите прав потребителей — по приложенному расчёту.</w:t>
      </w:r>
    </w:p>
    <w:p>
      <w:pPr>
        <w:pStyle w:val="ListNumber"/>
        <w:numPr>
          <w:ilvl w:val="0"/>
          <w:numId w:val="10"/>
        </w:numPr>
      </w:pPr>
      <w:r>
        <w:t>Сохранить и проверить видео, журналы загрузки и открытия ячейки и иные данные, указанные в обращении оператору постамата.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 с указанием продавца, получателя оплаты и лица, отвечавшего за выдачу заказа.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предъявляйте платформе все требования автоматически. Её ответственность зависит от того, кто указан продавцом, кто получил деньги и какие обязанности приняла на себя площадка.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заказ, карточка товара и чек;</w:t>
      </w:r>
    </w:p>
    <w:p>
      <w:pPr>
        <w:pStyle w:val="ListBullet"/>
        <w:numPr>
          <w:ilvl w:val="0"/>
          <w:numId w:val="11"/>
        </w:numPr>
      </w:pPr>
      <w:r>
        <w:t>заявление оператору постамата;</w:t>
      </w:r>
    </w:p>
    <w:p>
      <w:pPr>
        <w:pStyle w:val="ListBullet"/>
        <w:numPr>
          <w:ilvl w:val="0"/>
          <w:numId w:val="11"/>
        </w:numPr>
      </w:pPr>
      <w:r>
        <w:t>фото/видео и данные свидетеля;</w:t>
      </w:r>
    </w:p>
    <w:p>
      <w:pPr>
        <w:pStyle w:val="ListBullet"/>
        <w:numPr>
          <w:ilvl w:val="0"/>
          <w:numId w:val="11"/>
        </w:numPr>
      </w:pPr>
      <w:r>
        <w:t>переписка с поддержкой;</w:t>
      </w:r>
    </w:p>
    <w:p>
      <w:pPr>
        <w:pStyle w:val="ListBullet"/>
        <w:numPr>
          <w:ilvl w:val="0"/>
          <w:numId w:val="11"/>
        </w:numPr>
      </w:pPr>
      <w:r>
        <w:t>расчёт неустойки.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458 и 459 ГК РФ; статьи 9, 12, 12.1, 13, 23.1 и 26.1 Закона РФ «О защите прав потребителей»; Правила, утверждённые постановлением Правительства РФ № 2463.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