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umentTitle"/>
      </w:pPr>
      <w:r>
        <w:t>Претензия продавцу квартиры о скрытых недостатках</w:t>
      </w:r>
    </w:p>
    <w:p>
      <w:pPr>
        <w:pStyle w:val="SmallNote"/>
      </w:pPr>
      <w:r>
        <w:t>Категория: Претензии  •  Статья сайта: №236</w:t>
      </w:r>
    </w:p>
    <w:p>
      <w:pPr>
        <w:pStyle w:val="SmallNote"/>
      </w:pPr>
      <w:r>
        <w:rPr>
          <w:color w:val="676767"/>
        </w:rPr>
        <w:t>Структура: ОБРАЩЕНИЕ: адресат и заявитель • обстоятельства • правовые основания • просьбы • приложения</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5F0E4"/>
            <w:tcBorders>
              <w:top w:val="single" w:sz="8" w:space="0" w:color="8F2B24"/>
              <w:left w:val="single" w:sz="8" w:space="0" w:color="8F2B24"/>
              <w:bottom w:val="single" w:sz="8" w:space="0" w:color="8F2B24"/>
              <w:right w:val="single" w:sz="8" w:space="0" w:color="8F2B24"/>
              <w:insideH w:val="single" w:sz="8" w:space="0" w:color="8F2B24"/>
              <w:insideV w:val="single" w:sz="8" w:space="0" w:color="8F2B24"/>
            </w:tcBorders>
            <w:tcMar>
              <w:top w:w="80" w:type="dxa"/>
              <w:start w:w="120" w:type="dxa"/>
              <w:bottom w:w="80" w:type="dxa"/>
              <w:end w:w="120" w:type="dxa"/>
            </w:tcMar>
          </w:tcPr>
          <w:p>
            <w:pPr>
              <w:spacing w:after="0" w:line="276" w:lineRule="auto"/>
            </w:pPr>
            <w:r>
              <w:rPr>
                <w:b/>
                <w:color w:val="6E211D"/>
              </w:rPr>
              <w:t xml:space="preserve">Когда использовать. </w:t>
            </w:r>
            <w:r>
              <w:rPr>
                <w:color w:val="14213D"/>
              </w:rPr>
              <w:t>После покупки выявлены дефекты, которые не были оговорены и существовали до передачи либо возникли по прежней причине. Образец рассчитан прежде всего на продажу между обычными гражданами.</w:t>
            </w:r>
          </w:p>
        </w:tc>
      </w:tr>
    </w:tbl>
    <w:p>
      <w:pPr>
        <w:pStyle w:val="Heading2"/>
      </w:pPr>
      <w:r>
        <w:t>Куда и от кого</w:t>
      </w:r>
    </w:p>
    <w:p>
      <w:pPr>
        <w:spacing w:after="40"/>
        <w:jc w:val="right"/>
      </w:pPr>
      <w:r>
        <w:rPr>
          <w:color w:val="14213D"/>
          <w:sz w:val="20"/>
        </w:rPr>
        <w:t>Продавцу: [ФИО/организация, адрес]</w:t>
      </w:r>
    </w:p>
    <w:p>
      <w:pPr>
        <w:spacing w:after="40"/>
        <w:jc w:val="left"/>
      </w:pPr>
      <w:r>
        <w:rPr>
          <w:color w:val="14213D"/>
          <w:sz w:val="20"/>
        </w:rPr>
        <w:t>От покупателя: [ФИО, адрес, контакты]</w:t>
      </w:r>
    </w:p>
    <w:p>
      <w:pPr>
        <w:spacing w:after="40"/>
        <w:jc w:val="left"/>
      </w:pPr>
      <w:r>
        <w:rPr>
          <w:color w:val="14213D"/>
          <w:sz w:val="20"/>
        </w:rPr>
        <w:t>Квартира: [адрес, кадастровый номер] • Договор от [дата]</w:t>
      </w:r>
    </w:p>
    <w:p>
      <w:pPr>
        <w:pStyle w:val="Heading1"/>
      </w:pPr>
      <w:r>
        <w:t>ПРЕТЕНЗИЯ О СКРЫТЫХ НЕДОСТАТКАХ КВАРТИРЫ</w:t>
      </w:r>
    </w:p>
    <w:p>
      <w:pPr>
        <w:pStyle w:val="Heading2"/>
      </w:pPr>
      <w:r>
        <w:t>ОБСТОЯТЕЛЬСТВА</w:t>
      </w:r>
    </w:p>
    <w:p>
      <w:r>
        <w:t>Квартира передана [дата] за [цена]. В договоре и акте её качество описано [условия]. [Дата] обнаружены [протечки, грибок, дефекты конструкций/сетей — точно].</w:t>
      </w:r>
    </w:p>
    <w:p>
      <w:r>
        <w:t>Недостатки не могли быть выявлены при обычном осмотре / были скрыты [чем]. Их прежнее происхождение подтверждается [заключение, акты, история заявок, фото]. Продавец приглашён на осмотр [дата].</w:t>
      </w:r>
    </w:p>
    <w:p>
      <w:pPr>
        <w:pStyle w:val="Heading2"/>
      </w:pPr>
      <w:r>
        <w:t>ПРАВОВЫЕ ОСНОВАНИЯ</w:t>
      </w:r>
    </w:p>
    <w:p>
      <w:r>
        <w:t>К недвижимости ненадлежащего качества применяются способы защиты покупателя, кроме замены объекта. При отсутствии гарантии покупатель обычно доказывает, что недостаток или его причина существовали до передачи. Своевременное извещение продавца важно для доказательства даты обнаружения.</w:t>
      </w:r>
    </w:p>
    <w:p>
      <w:pPr>
        <w:pStyle w:val="Heading2"/>
      </w:pPr>
      <w:r>
        <w:t>ПРОШУ / ТРЕБУЮ</w:t>
      </w:r>
    </w:p>
    <w:p>
      <w:pPr>
        <w:pStyle w:val="ListNumber"/>
        <w:numPr>
          <w:ilvl w:val="0"/>
          <w:numId w:val="10"/>
        </w:numPr>
      </w:pPr>
      <w:r>
        <w:t>Организовать совместный осмотр [дата/варианты] и письменно зафиксировать каждый недостаток.</w:t>
      </w:r>
    </w:p>
    <w:p>
      <w:pPr>
        <w:pStyle w:val="ListNumber"/>
        <w:numPr>
          <w:ilvl w:val="0"/>
          <w:numId w:val="10"/>
        </w:numPr>
      </w:pPr>
      <w:r>
        <w:t>[Выбрать одно основное требование:] соразмерно уменьшить цену на [сумма] / устранить недостатки в разумный срок / возместить расходы на устранение [сумма] / вернуть цену при существенном нарушении и согласовать возврат квартиры.</w:t>
      </w:r>
    </w:p>
    <w:p>
      <w:pPr>
        <w:pStyle w:val="ListNumber"/>
        <w:numPr>
          <w:ilvl w:val="0"/>
          <w:numId w:val="10"/>
        </w:numPr>
      </w:pPr>
      <w:r>
        <w:t>Возместить иные причинно связанные убытки [сумма] руб. при наличии подтверждений.</w:t>
      </w:r>
    </w:p>
    <w:p>
      <w:pPr>
        <w:pStyle w:val="ListNumber"/>
        <w:numPr>
          <w:ilvl w:val="0"/>
          <w:numId w:val="10"/>
        </w:numPr>
      </w:pPr>
      <w:r>
        <w:t>Сохранить относящиеся к ремонту, авариям и сообщениям о дефектах документы и предоставить мотивированный ответ.</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2F4F7"/>
            <w:tcBorders>
              <w:top w:val="single" w:sz="8" w:space="0" w:color="B88A3B"/>
              <w:left w:val="single" w:sz="8" w:space="0" w:color="B88A3B"/>
              <w:bottom w:val="single" w:sz="8" w:space="0" w:color="B88A3B"/>
              <w:right w:val="single" w:sz="8" w:space="0" w:color="B88A3B"/>
              <w:insideH w:val="single" w:sz="8" w:space="0" w:color="B88A3B"/>
              <w:insideV w:val="single" w:sz="8" w:space="0" w:color="B88A3B"/>
            </w:tcBorders>
            <w:tcMar>
              <w:top w:w="80" w:type="dxa"/>
              <w:start w:w="120" w:type="dxa"/>
              <w:bottom w:w="80" w:type="dxa"/>
              <w:end w:w="120" w:type="dxa"/>
            </w:tcMar>
          </w:tcPr>
          <w:p>
            <w:pPr>
              <w:spacing w:after="0" w:line="276" w:lineRule="auto"/>
            </w:pPr>
            <w:r>
              <w:rPr>
                <w:color w:val="14213D"/>
              </w:rPr>
              <w:t>Двухлетний срок обнаружения по статье 477 ГК РФ нельзя механически называть сроком исковой давности. До изменения закона учитывайте переходное правило КС РФ и фиксируйте дату извещения продавца.</w:t>
            </w:r>
          </w:p>
        </w:tc>
      </w:tr>
    </w:tbl>
    <w:p>
      <w:pPr>
        <w:pStyle w:val="Heading2"/>
      </w:pPr>
      <w:r>
        <w:t>Приложения</w:t>
      </w:r>
    </w:p>
    <w:p>
      <w:pPr>
        <w:pStyle w:val="ListBullet"/>
        <w:numPr>
          <w:ilvl w:val="0"/>
          <w:numId w:val="11"/>
        </w:numPr>
      </w:pPr>
      <w:r>
        <w:t>договор и акт;</w:t>
      </w:r>
    </w:p>
    <w:p>
      <w:pPr>
        <w:pStyle w:val="ListBullet"/>
        <w:numPr>
          <w:ilvl w:val="0"/>
          <w:numId w:val="11"/>
        </w:numPr>
      </w:pPr>
      <w:r>
        <w:t>выписка ЕГРН;</w:t>
      </w:r>
    </w:p>
    <w:p>
      <w:pPr>
        <w:pStyle w:val="ListBullet"/>
        <w:numPr>
          <w:ilvl w:val="0"/>
          <w:numId w:val="11"/>
        </w:numPr>
      </w:pPr>
      <w:r>
        <w:t>фото и видео;</w:t>
      </w:r>
    </w:p>
    <w:p>
      <w:pPr>
        <w:pStyle w:val="ListBullet"/>
        <w:numPr>
          <w:ilvl w:val="0"/>
          <w:numId w:val="11"/>
        </w:numPr>
      </w:pPr>
      <w:r>
        <w:t>акт осмотра/заключение специалиста;</w:t>
      </w:r>
    </w:p>
    <w:p>
      <w:pPr>
        <w:pStyle w:val="ListBullet"/>
        <w:numPr>
          <w:ilvl w:val="0"/>
          <w:numId w:val="11"/>
        </w:numPr>
      </w:pPr>
      <w:r>
        <w:t>заявки УК и история аварий;</w:t>
      </w:r>
    </w:p>
    <w:p>
      <w:pPr>
        <w:pStyle w:val="ListBullet"/>
        <w:numPr>
          <w:ilvl w:val="0"/>
          <w:numId w:val="11"/>
        </w:numPr>
      </w:pPr>
      <w:r>
        <w:t>смета и чеки;</w:t>
      </w:r>
    </w:p>
    <w:p>
      <w:pPr>
        <w:pStyle w:val="ListBullet"/>
        <w:numPr>
          <w:ilvl w:val="0"/>
          <w:numId w:val="11"/>
        </w:numPr>
      </w:pPr>
      <w:r>
        <w:t>приглашение на осмотр;</w:t>
      </w:r>
    </w:p>
    <w:p>
      <w:pPr>
        <w:pStyle w:val="ListBullet"/>
        <w:numPr>
          <w:ilvl w:val="0"/>
          <w:numId w:val="11"/>
        </w:numPr>
      </w:pPr>
      <w:r>
        <w:t>расчёт;</w:t>
      </w:r>
    </w:p>
    <w:p>
      <w:pPr>
        <w:pStyle w:val="ListBullet"/>
        <w:numPr>
          <w:ilvl w:val="0"/>
          <w:numId w:val="11"/>
        </w:numPr>
      </w:pPr>
      <w:r>
        <w:t>доказательство вручения.</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2F4F7"/>
            <w:tcBorders>
              <w:top w:val="single" w:sz="8" w:space="0" w:color="B88A3B"/>
              <w:left w:val="single" w:sz="8" w:space="0" w:color="B88A3B"/>
              <w:bottom w:val="single" w:sz="8" w:space="0" w:color="B88A3B"/>
              <w:right w:val="single" w:sz="8" w:space="0" w:color="B88A3B"/>
              <w:insideH w:val="single" w:sz="8" w:space="0" w:color="B88A3B"/>
              <w:insideV w:val="single" w:sz="8" w:space="0" w:color="B88A3B"/>
            </w:tcBorders>
            <w:tcMar>
              <w:top w:w="80" w:type="dxa"/>
              <w:start w:w="120" w:type="dxa"/>
              <w:bottom w:w="80" w:type="dxa"/>
              <w:end w:w="120" w:type="dxa"/>
            </w:tcMar>
          </w:tcPr>
          <w:p>
            <w:pPr>
              <w:spacing w:after="0" w:line="276" w:lineRule="auto"/>
            </w:pPr>
            <w:r>
              <w:rPr>
                <w:b/>
                <w:color w:val="6E211D"/>
              </w:rPr>
              <w:t xml:space="preserve">Правовая основа. </w:t>
            </w:r>
            <w:r>
              <w:rPr>
                <w:color w:val="14213D"/>
              </w:rPr>
              <w:t>статьи 15, 469, 475–477, 483, 556 и 557 ГК РФ; Постановление Конституционного Суда РФ от 09.06.2026 № 38-П.</w:t>
            </w:r>
          </w:p>
        </w:tc>
      </w:tr>
    </w:tbl>
    <w:p>
      <w:pPr>
        <w:spacing w:before="200"/>
      </w:pPr>
      <w:r>
        <w:t>Дата: «___» __________ 20__ г.        Подпись: ____________ / [ФИО] /</w:t>
      </w:r>
    </w:p>
    <w:p>
      <w:pPr>
        <w:pStyle w:val="SmallNote"/>
      </w:pPr>
      <w:r>
        <w:t>Образец и правовая основа проверены 29 августа 2026 года. Перед подачей удалите подсказки, выберите только применимые варианты, заполните факты, расчёт и приложения.</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76767"/>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6" w:space="2" w:color="B88A3B"/>
      </w:pBdr>
    </w:pPr>
    <w:r>
      <w:rPr>
        <w:rFonts w:ascii="Calibri" w:hAnsi="Calibri"/>
        <w:color w:val="676767"/>
        <w:sz w:val="17"/>
      </w:rPr>
      <w:t>Юристы в джинсах • статья №236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540"/>
        </w:tabs>
        <w:ind w:left="540" w:hanging="270"/>
        <w:spacing w:after="80" w:line="300" w:lineRule="auto"/>
      </w:pPr>
      <w:rPr>
        <w:color w:val="8F2B24"/>
      </w:rPr>
    </w:lvl>
  </w:abstractNum>
  <w:num w:numId="10">
    <w:abstractNumId w:val="9"/>
  </w:num>
  <w:abstractNum w:abstractNumId="10">
    <w:multiLevelType w:val="singleLevel"/>
    <w:lvl w:ilvl="0">
      <w:start w:val="1"/>
      <w:numFmt w:val="bullet"/>
      <w:lvlText w:val="•"/>
      <w:suff w:val="tab"/>
      <w:pPr>
        <w:tabs>
          <w:tab w:val="num" w:pos="540"/>
        </w:tabs>
        <w:ind w:left="540" w:hanging="270"/>
        <w:spacing w:after="80" w:line="300" w:lineRule="auto"/>
      </w:pPr>
      <w:rPr>
        <w:color w:val="8F2B24"/>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4213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8F2B24"/>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8F2B24"/>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6E211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300" w:lineRule="auto"/>
      <w:contextualSpacing/>
    </w:pPr>
    <w:rPr>
      <w:rFonts w:ascii="Calibri" w:hAnsi="Calibri"/>
      <w:color w:val="14213D"/>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80" w:line="300" w:lineRule="auto"/>
      <w:contextualSpacing/>
    </w:pPr>
    <w:rPr>
      <w:rFonts w:ascii="Calibri" w:hAnsi="Calibri"/>
      <w:color w:val="14213D"/>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Title">
    <w:name w:val="Document Title"/>
    <w:pPr>
      <w:keepNext/>
      <w:spacing w:before="0" w:after="160"/>
    </w:pPr>
    <w:rPr>
      <w:rFonts w:ascii="Calibri" w:hAnsi="Calibri"/>
      <w:b/>
      <w:color w:val="8F2B24"/>
      <w:sz w:val="44"/>
    </w:rPr>
  </w:style>
  <w:style w:type="paragraph" w:customStyle="1" w:styleId="SmallNote">
    <w:name w:val="Small Note"/>
    <w:pPr>
      <w:spacing w:after="80" w:line="276" w:lineRule="auto"/>
    </w:pPr>
    <w:rPr>
      <w:rFonts w:ascii="Calibri" w:hAnsi="Calibri"/>
      <w:color w:val="676767"/>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