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соседу о возмещении ущерба от залива квартиры</w:t>
      </w:r>
    </w:p>
    <w:p>
      <w:pPr>
        <w:pStyle w:val="SmallNote"/>
      </w:pPr>
      <w:r>
        <w:t>Категория: Претензии  •  Статья сайта: №256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После фиксации источника и оценки вреда, если ответственным является собственник или пользователь другой квартиры. Для крыши, стояка или общего имущества используйте претензию к управляющей организации.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Собственнику / пользователю квартиры № [номер]: [ФИО, адрес]</w:t>
      </w:r>
    </w:p>
    <w:p>
      <w:pPr>
        <w:spacing w:after="40"/>
        <w:jc w:val="left"/>
      </w:pPr>
      <w:r>
        <w:rPr>
          <w:color w:val="14213D"/>
          <w:sz w:val="20"/>
        </w:rPr>
        <w:t>От потерпевшего: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Залив от [дата]</w:t>
      </w:r>
    </w:p>
    <w:p>
      <w:pPr>
        <w:pStyle w:val="Heading1"/>
      </w:pPr>
      <w:r>
        <w:t>ПРЕТЕНЗИЯ О ДОБРОВОЛЬНОМ ВОЗМЕЩЕНИИ УЩЕРБА ОТ ЗАЛИВА</w:t>
      </w:r>
    </w:p>
    <w:p>
      <w:pPr>
        <w:pStyle w:val="Heading2"/>
      </w:pPr>
      <w:r>
        <w:t>ОБСТОЯТЕЛЬСТВА</w:t>
      </w:r>
    </w:p>
    <w:p>
      <w:r>
        <w:t>[Дата] произошёл залив квартиры [адрес]. Источник [описание] находился в квартире / зоне ответственности адресата, что отражено в акте [реквизиты].</w:t>
      </w:r>
    </w:p>
    <w:p>
      <w:r>
        <w:t>Повреждения и стоимость восстановления подтверждены [отчёт / смета] на [сумма] руб. Расходы на оценку и аварийные меры — [сумма]. О проведении осмотра адресат извещён [как].</w:t>
      </w:r>
    </w:p>
    <w:p>
      <w:pPr>
        <w:pStyle w:val="Heading2"/>
      </w:pPr>
      <w:r>
        <w:t>ПРАВОВЫЕ ОСНОВАНИЯ</w:t>
      </w:r>
    </w:p>
    <w:p>
      <w:r>
        <w:t>Вред имуществу возмещает причинитель в полном объёме, если не докажет отсутствие оснований ответственности. Собственник обязан содержать своё имущество и не нарушать права соседей.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В течение [10 / иной разумный срок] дней выплатить ущерб [сумма] руб. и расходы на оценку [сумма] руб.</w:t>
      </w:r>
    </w:p>
    <w:p>
      <w:pPr>
        <w:pStyle w:val="ListNumber"/>
        <w:numPr>
          <w:ilvl w:val="0"/>
          <w:numId w:val="10"/>
        </w:numPr>
      </w:pPr>
      <w:r>
        <w:t>Согласовать способ оплаты / добровольного ремонта только в письменной форме с объёмом, материалами и сроком.</w:t>
      </w:r>
    </w:p>
    <w:p>
      <w:pPr>
        <w:pStyle w:val="ListNumber"/>
        <w:numPr>
          <w:ilvl w:val="0"/>
          <w:numId w:val="10"/>
        </w:numPr>
      </w:pPr>
      <w:r>
        <w:t>При несогласии направить мотивированные возражения и доказательства иной причины или размера.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предъявляйте претензию соседу только потому, что вода пришла сверху. Сначала установите конкретный источник и принадлежность оборудования.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акт о заливе;</w:t>
      </w:r>
    </w:p>
    <w:p>
      <w:pPr>
        <w:pStyle w:val="ListBullet"/>
        <w:numPr>
          <w:ilvl w:val="0"/>
          <w:numId w:val="11"/>
        </w:numPr>
      </w:pPr>
      <w:r>
        <w:t>фото / видео;</w:t>
      </w:r>
    </w:p>
    <w:p>
      <w:pPr>
        <w:pStyle w:val="ListBullet"/>
        <w:numPr>
          <w:ilvl w:val="0"/>
          <w:numId w:val="11"/>
        </w:numPr>
      </w:pPr>
      <w:r>
        <w:t>отчёт / смета;</w:t>
      </w:r>
    </w:p>
    <w:p>
      <w:pPr>
        <w:pStyle w:val="ListBullet"/>
        <w:numPr>
          <w:ilvl w:val="0"/>
          <w:numId w:val="11"/>
        </w:numPr>
      </w:pPr>
      <w:r>
        <w:t>чеки;</w:t>
      </w:r>
    </w:p>
    <w:p>
      <w:pPr>
        <w:pStyle w:val="ListBullet"/>
        <w:numPr>
          <w:ilvl w:val="0"/>
          <w:numId w:val="11"/>
        </w:numPr>
      </w:pPr>
      <w:r>
        <w:t>извещение об осмотре;</w:t>
      </w:r>
    </w:p>
    <w:p>
      <w:pPr>
        <w:pStyle w:val="ListBullet"/>
        <w:numPr>
          <w:ilvl w:val="0"/>
          <w:numId w:val="11"/>
        </w:numPr>
      </w:pPr>
      <w:r>
        <w:t>реквизиты;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210, 1064, 1082 ГК РФ; статьи 30–31 ЖК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