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о возмещении ущерба, причинённого капитальным ремонтом дома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№311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ответа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фиксации причины и ущерба надлежащему ответственному лицу. При фонде на счёте регионального оператора основной адресат — региональный оператор; при специальном счёте сначала установите заказчика по решению собрания и договору.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[региональный оператор / заказчик капремонта, адрес]</w:t>
      </w:r>
    </w:p>
    <w:p>
      <w:pPr>
        <w:spacing w:after="40"/>
        <w:jc w:val="left"/>
      </w:pPr>
      <w:r>
        <w:rPr>
          <w:color w:val="14213D"/>
          <w:sz w:val="20"/>
        </w:rPr>
        <w:t>Копия: [подрядчик, УК / ТСЖ]</w:t>
      </w:r>
    </w:p>
    <w:p>
      <w:pPr>
        <w:spacing w:after="40"/>
        <w:jc w:val="left"/>
      </w:pPr>
      <w:r>
        <w:rPr>
          <w:color w:val="14213D"/>
          <w:sz w:val="20"/>
        </w:rPr>
        <w:t>От собственника / нанимателя: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Дом и квартира: [адрес]</w:t>
      </w:r>
    </w:p>
    <w:p>
      <w:pPr>
        <w:spacing w:after="40"/>
        <w:jc w:val="left"/>
      </w:pPr>
      <w:r>
        <w:rPr>
          <w:color w:val="14213D"/>
          <w:sz w:val="20"/>
        </w:rPr>
        <w:t>Работы: [вид, договор / период]</w:t>
      </w:r>
    </w:p>
    <w:p>
      <w:pPr>
        <w:pStyle w:val="Heading1"/>
      </w:pPr>
      <w:r>
        <w:t>ПРЕТЕНЗИЯ О ВОЗМЕЩЕНИИ УЩЕРБА И УСТРАНЕНИИ ПОСЛЕДСТВИЙ НЕНАДЛЕЖАЩЕГО КАПИТАЛЬНОГО РЕМОНТА</w:t>
      </w:r>
    </w:p>
    <w:p>
      <w:pPr>
        <w:pStyle w:val="Heading2"/>
      </w:pPr>
      <w:r>
        <w:t>ОБСТОЯТЕЛЬСТВА</w:t>
      </w:r>
    </w:p>
    <w:p>
      <w:r>
        <w:t>В доме проводился капитальный ремонт [вид работ] в период [даты]. [Дата] в квартире возникло [залив, повреждение отделки, трещины, повреждение стояков], что зафиксировано актом [кем, дата].</w:t>
      </w:r>
    </w:p>
    <w:p>
      <w:r>
        <w:t>Причинная связь подтверждается [акт, экспертное заключение, фото хода работ]. Размер ущерба по [оценка / смета] составляет [сумма] руб.; дополнительные расходы [сумма] руб. Необходимые аварийные меры выполнены [описание].</w:t>
      </w:r>
    </w:p>
    <w:p>
      <w:pPr>
        <w:pStyle w:val="Heading2"/>
      </w:pPr>
      <w:r>
        <w:t>ПРАВОВЫЕ ОСНОВАНИЯ</w:t>
      </w:r>
    </w:p>
    <w:p>
      <w:r>
        <w:t>При формировании фонда на счёте регионального оператора он отвечает перед собственниками за последствия ненадлежащего исполнения подрядчиком. При специальном счёте ответственность определяется по договору, статусу заказчика и вине конкретных участников. Привлечение подрядчика не освобождает надлежащего ответчика, если закон возлагает ответственность на него.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 течение [разумный срок] провести совместный осмотр и выдать подписанный акт с причиной повреждений.</w:t>
      </w:r>
    </w:p>
    <w:p>
      <w:pPr>
        <w:pStyle w:val="ListNumber"/>
        <w:numPr>
          <w:ilvl w:val="0"/>
          <w:numId w:val="10"/>
        </w:numPr>
      </w:pPr>
      <w:r>
        <w:t>Устранить источник и последствия дефектов капитального ремонта в срок [срок].</w:t>
      </w:r>
    </w:p>
    <w:p>
      <w:pPr>
        <w:pStyle w:val="ListNumber"/>
        <w:numPr>
          <w:ilvl w:val="0"/>
          <w:numId w:val="10"/>
        </w:numPr>
      </w:pPr>
      <w:r>
        <w:t>Возместить ущерб [сумма] руб. и подтверждённые расходы [сумма] руб. по реквизитам [данные] либо письменно согласовать восстановительный ремонт.</w:t>
      </w:r>
    </w:p>
    <w:p>
      <w:pPr>
        <w:pStyle w:val="ListNumber"/>
        <w:numPr>
          <w:ilvl w:val="0"/>
          <w:numId w:val="10"/>
        </w:numPr>
      </w:pPr>
      <w:r>
        <w:t>Предоставить копии договора подряда, актов приёмки, гарантийных документов и сведений об ответственном исполнителе.</w:t>
      </w:r>
    </w:p>
    <w:p>
      <w:r>
        <w:t>При отказе требования будут заявлены в суде с судебными расходами и иными предусмотренными законом последствиями.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До экспертизы выполняйте только аварийные и безопасные меры, сохраняя повреждённые материалы и чеки. Не предъявляйте один и тот же ущерб одновременно нескольким лицам как отдельные суммы.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акт аварийной службы / УК;</w:t>
      </w:r>
    </w:p>
    <w:p>
      <w:pPr>
        <w:pStyle w:val="ListBullet"/>
        <w:numPr>
          <w:ilvl w:val="0"/>
          <w:numId w:val="11"/>
        </w:numPr>
      </w:pPr>
      <w:r>
        <w:t>фото и видео источника и повреждений;</w:t>
      </w:r>
    </w:p>
    <w:p>
      <w:pPr>
        <w:pStyle w:val="ListBullet"/>
        <w:numPr>
          <w:ilvl w:val="0"/>
          <w:numId w:val="11"/>
        </w:numPr>
      </w:pPr>
      <w:r>
        <w:t>уведомления участников об осмотре;</w:t>
      </w:r>
    </w:p>
    <w:p>
      <w:pPr>
        <w:pStyle w:val="ListBullet"/>
        <w:numPr>
          <w:ilvl w:val="0"/>
          <w:numId w:val="11"/>
        </w:numPr>
      </w:pPr>
      <w:r>
        <w:t>заключение специалиста / оценка;</w:t>
      </w:r>
    </w:p>
    <w:p>
      <w:pPr>
        <w:pStyle w:val="ListBullet"/>
        <w:numPr>
          <w:ilvl w:val="0"/>
          <w:numId w:val="11"/>
        </w:numPr>
      </w:pPr>
      <w:r>
        <w:t>смета и чеки;</w:t>
      </w:r>
    </w:p>
    <w:p>
      <w:pPr>
        <w:pStyle w:val="ListBullet"/>
        <w:numPr>
          <w:ilvl w:val="0"/>
          <w:numId w:val="11"/>
        </w:numPr>
      </w:pPr>
      <w:r>
        <w:t>документы о праве на квартиру;</w:t>
      </w:r>
    </w:p>
    <w:p>
      <w:pPr>
        <w:pStyle w:val="ListBullet"/>
        <w:numPr>
          <w:ilvl w:val="0"/>
          <w:numId w:val="11"/>
        </w:numPr>
      </w:pPr>
      <w:r>
        <w:t>сведения о способе формирования фонда;</w:t>
      </w:r>
    </w:p>
    <w:p>
      <w:pPr>
        <w:pStyle w:val="ListBullet"/>
        <w:numPr>
          <w:ilvl w:val="0"/>
          <w:numId w:val="11"/>
        </w:numPr>
      </w:pPr>
      <w:r>
        <w:t>переписка;</w:t>
      </w:r>
    </w:p>
    <w:p>
      <w:pPr>
        <w:pStyle w:val="ListBullet"/>
        <w:numPr>
          <w:ilvl w:val="0"/>
          <w:numId w:val="11"/>
        </w:numPr>
      </w:pPr>
      <w:r>
        <w:t>банковские реквизиты;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309, 393, 723–724, 1064 ГК РФ; статьи 166–168 и часть 6 статьи 182 ЖК РФ; Постановление Правительства РФ от 01.07.2016 № 615; Закон РФ от 07.02.1992 № 2300-1 — если применим к отношениям сторон.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