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 от пожара электромобиля во время зарядки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№452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после первичной экспертизы вероятно ответственным лицам: владельцу источника, изготовителю автомобиля или батареи, продавцу, оператору зарядки, владельцу парковки либо монтажной организации — только по доказанной роли каждого.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[ответственное лицо,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[страховщик / иные участники]</w:t>
      </w:r>
    </w:p>
    <w:p>
      <w:pPr>
        <w:spacing w:after="40"/>
        <w:jc w:val="left"/>
      </w:pPr>
      <w:r>
        <w:rPr>
          <w:color w:val="14213D"/>
          <w:sz w:val="20"/>
        </w:rPr>
        <w:t>От: [потерпевший, адрес, контакты]</w:t>
      </w:r>
    </w:p>
    <w:p>
      <w:pPr>
        <w:pStyle w:val="Heading1"/>
      </w:pPr>
      <w:r>
        <w:t>ПРЕТЕНЗИЯ О ВОЗМЕЩЕНИИ ВРЕДА ОТ ПОЖАРА</w:t>
      </w:r>
    </w:p>
    <w:p>
      <w:r>
        <w:t>[Дата, место] при зарядке автомобиля [данные] произошёл пожар, повредивший [автомобиль / соседние машины / помещение / имущество]. Документы МЧС: [реквизиты]. Предварительная причина / установленный дефект: [точная формулировка заключения, без преувеличения].</w:t>
      </w:r>
    </w:p>
    <w:p>
      <w:r>
        <w:t>Роль адресата состоит в [изготовление дефектного товара / эксплуатация станции / монтаж / владение источником / ненадлежащее содержание]. Размер ущерба — [сумма] руб., дополнительные расходы — [сумма].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Принять участие в совместном осмотре и экспертизе сохранившихся объектов.</w:t>
      </w:r>
    </w:p>
    <w:p>
      <w:pPr>
        <w:pStyle w:val="ListNumber"/>
        <w:numPr>
          <w:ilvl w:val="0"/>
          <w:numId w:val="10"/>
        </w:numPr>
      </w:pPr>
      <w:r>
        <w:t>Предоставить технические журналы, сведения об обслуживании, обновлениях, зарядной сессии и страховании, относящиеся к происшествию.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подтверждённый ущерб и необходимые расходы в размере [сумма] руб. по расчёту.</w:t>
      </w:r>
    </w:p>
    <w:p>
      <w:pPr>
        <w:pStyle w:val="ListNumber"/>
        <w:numPr>
          <w:ilvl w:val="0"/>
          <w:numId w:val="10"/>
        </w:numPr>
      </w:pPr>
      <w:r>
        <w:t>Не уничтожать объекты и данные до завершения согласованного исследования или разрешения спора.</w:t>
      </w:r>
    </w:p>
    <w:p>
      <w:pPr>
        <w:pStyle w:val="ListNumber"/>
        <w:numPr>
          <w:ilvl w:val="0"/>
          <w:numId w:val="10"/>
        </w:numPr>
      </w:pPr>
      <w:r>
        <w:t>Дать мотивированный ответ и указать страховщика, если ответственность застрахована.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Возгорание во время зарядки само по себе не доказывает дефект автомобиля или станции. Необходима причинная связь, а требования к нескольким участникам должны различать их роли.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и заключение МЧС;</w:t>
      </w:r>
    </w:p>
    <w:p>
      <w:pPr>
        <w:pStyle w:val="ListBullet"/>
        <w:numPr>
          <w:ilvl w:val="0"/>
          <w:numId w:val="11"/>
        </w:numPr>
      </w:pPr>
      <w:r>
        <w:t>экспертное заключение и фотографии;</w:t>
      </w:r>
    </w:p>
    <w:p>
      <w:pPr>
        <w:pStyle w:val="ListBullet"/>
        <w:numPr>
          <w:ilvl w:val="0"/>
          <w:numId w:val="11"/>
        </w:numPr>
      </w:pPr>
      <w:r>
        <w:t>документы на автомобили и имущество;</w:t>
      </w:r>
    </w:p>
    <w:p>
      <w:pPr>
        <w:pStyle w:val="ListBullet"/>
        <w:numPr>
          <w:ilvl w:val="0"/>
          <w:numId w:val="11"/>
        </w:numPr>
      </w:pPr>
      <w:r>
        <w:t>оценка ущерба и счета;</w:t>
      </w:r>
    </w:p>
    <w:p>
      <w:pPr>
        <w:pStyle w:val="ListBullet"/>
        <w:numPr>
          <w:ilvl w:val="0"/>
          <w:numId w:val="11"/>
        </w:numPr>
      </w:pPr>
      <w:r>
        <w:t>данные зарядной сессии;</w:t>
      </w:r>
    </w:p>
    <w:p>
      <w:pPr>
        <w:pStyle w:val="ListBullet"/>
        <w:numPr>
          <w:ilvl w:val="0"/>
          <w:numId w:val="11"/>
        </w:numPr>
      </w:pPr>
      <w:r>
        <w:t>уведомление об осмотре.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1079 и 1095–1098 ГК РФ; статьи 7, 14 и 18 Закона РФ № 2300-1 — при наличии потребительских отношений. Основание ответственности выбирается по установленной причине пожара.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