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 возмещении ущерба от выпавшего груза, колеса или детали грузовика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№453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установленным ответственным лицам после оценки: владельцу или законному владельцу грузовика, перевозчику, работодателю водителя, а при ненадлежащей погрузке — грузоотправителю либо иной организации по доказанной роли.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[владелец ТС / перевозчик / работодатель / грузоотправитель]</w:t>
      </w:r>
    </w:p>
    <w:p>
      <w:pPr>
        <w:spacing w:after="40"/>
        <w:jc w:val="left"/>
      </w:pPr>
      <w:r>
        <w:rPr>
          <w:color w:val="14213D"/>
          <w:sz w:val="20"/>
        </w:rPr>
        <w:t>Копия: [страховщик — если применимо]</w:t>
      </w:r>
    </w:p>
    <w:p>
      <w:pPr>
        <w:spacing w:after="40"/>
        <w:jc w:val="left"/>
      </w:pPr>
      <w:r>
        <w:rPr>
          <w:color w:val="14213D"/>
          <w:sz w:val="20"/>
        </w:rPr>
        <w:t>От потерпевшего: [ФИО, адрес, телефон]</w:t>
      </w:r>
    </w:p>
    <w:p>
      <w:pPr>
        <w:pStyle w:val="Heading1"/>
      </w:pPr>
      <w:r>
        <w:t>ПРЕТЕНЗИЯ О ВОЗМЕЩЕНИИ УЩЕРБА</w:t>
      </w:r>
    </w:p>
    <w:p>
      <w:r>
        <w:t>[Дата, место] от автомобиля [данные] отделилось [груз / колесо / деталь], что повредило автомобиль [данные]. Обстоятельства подтверждаются [материал ГИБДД, видео, свидетели, экспертиза]. Роль адресата: [собственник, перевозчик, работодатель, лицо, отвечавшее за погрузку].</w:t>
      </w:r>
    </w:p>
    <w:p>
      <w:r>
        <w:t>Стоимость восстановления по заключению [оценщик] — [сумма] руб.; эвакуация, хранение и оценка — [суммы]. Страховщик [выплатил сумма / отказал / случай не заявлялся].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Возместить непокрытый ущерб в размере [сумма] руб. по приложенному расчёту.</w:t>
      </w:r>
    </w:p>
    <w:p>
      <w:pPr>
        <w:pStyle w:val="ListNumber"/>
        <w:numPr>
          <w:ilvl w:val="0"/>
          <w:numId w:val="10"/>
        </w:numPr>
      </w:pPr>
      <w:r>
        <w:t>Возместить необходимые расходы на эвакуацию, хранение и оценку в размере [сумма] руб.</w:t>
      </w:r>
    </w:p>
    <w:p>
      <w:pPr>
        <w:pStyle w:val="ListNumber"/>
        <w:numPr>
          <w:ilvl w:val="0"/>
          <w:numId w:val="10"/>
        </w:numPr>
      </w:pPr>
      <w:r>
        <w:t>Сообщить данные страховщика и документы, подтверждающие распределение обязанностей по погрузке, креплению и техническому состоянию.</w:t>
      </w:r>
    </w:p>
    <w:p>
      <w:pPr>
        <w:pStyle w:val="ListNumber"/>
        <w:numPr>
          <w:ilvl w:val="0"/>
          <w:numId w:val="10"/>
        </w:numPr>
      </w:pPr>
      <w:r>
        <w:t>Согласовать осмотр сохранённых деталей и повреждений до ремонта — если осмотр ещё возможен.</w:t>
      </w:r>
    </w:p>
    <w:p>
      <w:pPr>
        <w:pStyle w:val="ListNumber"/>
        <w:numPr>
          <w:ilvl w:val="0"/>
          <w:numId w:val="10"/>
        </w:numPr>
      </w:pPr>
      <w:r>
        <w:t>Перечислить сумму по реквизитам [реквизиты] либо дать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предъявляйте одинаковую полную сумму всем участникам без объяснения правового основания. Ответственность собственника, работодателя и лица, выполнявшего погрузку, устанавливается по их конкретной роли.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материалы ГИБДД и видеозаписи;</w:t>
      </w:r>
    </w:p>
    <w:p>
      <w:pPr>
        <w:pStyle w:val="ListBullet"/>
        <w:numPr>
          <w:ilvl w:val="0"/>
          <w:numId w:val="11"/>
        </w:numPr>
      </w:pPr>
      <w:r>
        <w:t>оценка и фотографии;</w:t>
      </w:r>
    </w:p>
    <w:p>
      <w:pPr>
        <w:pStyle w:val="ListBullet"/>
        <w:numPr>
          <w:ilvl w:val="0"/>
          <w:numId w:val="11"/>
        </w:numPr>
      </w:pPr>
      <w:r>
        <w:t>счета эвакуации и хранения;</w:t>
      </w:r>
    </w:p>
    <w:p>
      <w:pPr>
        <w:pStyle w:val="ListBullet"/>
        <w:numPr>
          <w:ilvl w:val="0"/>
          <w:numId w:val="11"/>
        </w:numPr>
      </w:pPr>
      <w:r>
        <w:t>страховые документы и расчёт остатка;</w:t>
      </w:r>
    </w:p>
    <w:p>
      <w:pPr>
        <w:pStyle w:val="ListBullet"/>
        <w:numPr>
          <w:ilvl w:val="0"/>
          <w:numId w:val="11"/>
        </w:numPr>
      </w:pPr>
      <w:r>
        <w:t>банковские реквизиты и доказательство отправки.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1064, 1068 и 1079 ГК РФ; пункт 23.2 ПДД РФ; Федеральный закон № 40-ФЗ — если вред покрывается ОСАГО. Ответственность каждого адресата требует самостоятельного обоснования.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