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велосипедисту или пользователю СИМ о возмещении вреда</w:t>
      </w:r>
    </w:p>
    <w:p>
      <w:pPr>
        <w:pStyle w:val="SmallNote"/>
      </w:pPr>
      <w:r>
        <w:t>Категория: Претензии  •  Статья сайта: №255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фиксации ДТП, личности причинителя, повреждений и размера убытков. Если участник несовершеннолетний, адресат и объём ответственности зависят от его возраста.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[ФИО причинителя / законного представителя,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 потерпевшего,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ДТП от [дата], место [адрес]</w:t>
      </w:r>
    </w:p>
    <w:p>
      <w:pPr>
        <w:pStyle w:val="Heading1"/>
      </w:pPr>
      <w:r>
        <w:t>ПРЕТЕНЗИЯ О ДОБРОВОЛЬНОМ ВОЗМЕЩЕНИИ ВРЕДА</w:t>
      </w:r>
    </w:p>
    <w:p>
      <w:pPr>
        <w:pStyle w:val="Heading2"/>
      </w:pPr>
      <w:r>
        <w:t>ОБСТОЯТЕЛЬСТВА</w:t>
      </w:r>
    </w:p>
    <w:p>
      <w:r>
        <w:t>[Дата] произошло столкновение при следующих обстоятельствах: [проверяемое описание без правовых выводов]. Вред причинён [автомобилю, имуществу, здоровью].</w:t>
      </w:r>
    </w:p>
    <w:p>
      <w:r>
        <w:t>Размер подтверждается [отчёт, заказ-наряд, чеки, медицинские документы]. Адресат был уведомлён об осмотре [дата/способ] либо приглашение прилагается.</w:t>
      </w:r>
    </w:p>
    <w:p>
      <w:pPr>
        <w:pStyle w:val="Heading2"/>
      </w:pPr>
      <w:r>
        <w:t>ПРАВОВЫЕ ОСНОВАНИЯ</w:t>
      </w:r>
    </w:p>
    <w:p>
      <w:r>
        <w:t>Вред возмещается причинителем в полном объёме при наличии предусмотренных законом оснований. Для лиц до 14 лет и от 14 до 18 лет действуют разные правила ответственности законных представителей; требование нельзя автоматически предъявлять родителям взрослого причинителя.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В течение [разумный срок] выплатить имущественный ущерб [сумма] руб. и подтверждённые расходы [сумма] руб.</w:t>
      </w:r>
    </w:p>
    <w:p>
      <w:pPr>
        <w:pStyle w:val="ListNumber"/>
        <w:numPr>
          <w:ilvl w:val="0"/>
          <w:numId w:val="10"/>
        </w:numPr>
      </w:pPr>
      <w:r>
        <w:t>При вреде здоровью возместить подтверждённые расходы и утраченный заработок в размере [сумма] руб.; вопрос компенсации морального вреда урегулировать письменно.</w:t>
      </w:r>
    </w:p>
    <w:p>
      <w:pPr>
        <w:pStyle w:val="ListNumber"/>
        <w:numPr>
          <w:ilvl w:val="0"/>
          <w:numId w:val="10"/>
        </w:numPr>
      </w:pPr>
      <w:r>
        <w:t>При несогласии направить мотивированные возражения, документы о возрасте, статусе и контррасчёт.</w:t>
      </w:r>
    </w:p>
    <w:p>
      <w:pPr>
        <w:pStyle w:val="ListNumber"/>
        <w:numPr>
          <w:ilvl w:val="0"/>
          <w:numId w:val="10"/>
        </w:numPr>
      </w:pPr>
      <w:r>
        <w:t>Согласовать осмотр или экспертизу, если они ещё не проведены.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Досудебная претензия по обычному деликту обычно не является обязательной, но фиксирует сумму и попытку урегулирования. Статус любого электросамоката как источника повышенной опасности заранее не предполагается: оцениваются характеристики и фактическое использование.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материалы ДТП;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отчёт оценщика / смета / чеки;</w:t>
      </w:r>
    </w:p>
    <w:p>
      <w:pPr>
        <w:pStyle w:val="ListBullet"/>
        <w:numPr>
          <w:ilvl w:val="0"/>
          <w:numId w:val="11"/>
        </w:numPr>
      </w:pPr>
      <w:r>
        <w:t>медицинские и платёжные документы;</w:t>
      </w:r>
    </w:p>
    <w:p>
      <w:pPr>
        <w:pStyle w:val="ListBullet"/>
        <w:numPr>
          <w:ilvl w:val="0"/>
          <w:numId w:val="11"/>
        </w:numPr>
      </w:pPr>
      <w:r>
        <w:t>приглашение на осмотр;</w:t>
      </w:r>
    </w:p>
    <w:p>
      <w:pPr>
        <w:pStyle w:val="ListBullet"/>
        <w:numPr>
          <w:ilvl w:val="0"/>
          <w:numId w:val="11"/>
        </w:numPr>
      </w:pPr>
      <w:r>
        <w:t>банковские реквизиты;</w:t>
      </w:r>
    </w:p>
    <w:p>
      <w:pPr>
        <w:pStyle w:val="ListBullet"/>
        <w:numPr>
          <w:ilvl w:val="0"/>
          <w:numId w:val="11"/>
        </w:numPr>
      </w:pPr>
      <w:r>
        <w:t>доказательство вручения.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151, 1064, 1073, 1074, 1082, 1085–1086 и 1099–1101 ГК РФ; ПДД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