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владельцу и водителю автомобиля о возмещении ущерба при отсутствии ОСАГО</w:t>
      </w:r>
    </w:p>
    <w:p>
      <w:pPr>
        <w:pStyle w:val="SmallNote"/>
      </w:pPr>
      <w:r>
        <w:t>Категория: Претензии  •  Статья сайта: №253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У виновной стороны нет действующего ОСАГО либо страховщик подтвердил отсутствие покрытия. До направления установите, кто управлял автомобилем и кто владел им на законном основании.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[водитель и/или владелец автомобиля, адреса]</w:t>
      </w:r>
    </w:p>
    <w:p>
      <w:pPr>
        <w:spacing w:after="40"/>
        <w:jc w:val="left"/>
      </w:pPr>
      <w:r>
        <w:rPr>
          <w:color w:val="14213D"/>
          <w:sz w:val="20"/>
        </w:rPr>
        <w:t>От: [ФИО потерпевшего,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ДТП от [дата], материал № [номер]</w:t>
      </w:r>
    </w:p>
    <w:p>
      <w:pPr>
        <w:pStyle w:val="Heading1"/>
      </w:pPr>
      <w:r>
        <w:t>ПРЕТЕНЗИЯ О ВОЗМЕЩЕНИИ ВРЕДА, ПРИЧИНЁННОГО ДТП</w:t>
      </w:r>
    </w:p>
    <w:p>
      <w:pPr>
        <w:pStyle w:val="Heading2"/>
      </w:pPr>
      <w:r>
        <w:t>ОБСТОЯТЕЛЬСТВА</w:t>
      </w:r>
    </w:p>
    <w:p>
      <w:r>
        <w:t>[Дата] произошло ДТП с участием [автомобили]. Обстоятельства и действия водителя подтверждаются [постановление/определение, схема, видео, объяснения].</w:t>
      </w:r>
    </w:p>
    <w:p>
      <w:r>
        <w:t>ОСАГО у ответственной стороны отсутствовало / не покрывает событие: [подтверждение]. Ущерб составляет [сумма], расходы [сумма].</w:t>
      </w:r>
    </w:p>
    <w:p>
      <w:pPr>
        <w:pStyle w:val="Heading2"/>
      </w:pPr>
      <w:r>
        <w:t>ПРАВОВЫЕ ОСНОВАНИЯ</w:t>
      </w:r>
    </w:p>
    <w:p>
      <w:r>
        <w:t>Обязанность возмещения может лежать на законном владельце источника повышенной опасности; фактический водитель и собственник не всегда являются одним лицом. Ответчик определяется по владению, управлению, трудовым отношениям, передаче автомобиля и иным доказательствам.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В течение [срок] выплатить ущерб [сумма] руб. и расходы [сумма] руб.</w:t>
      </w:r>
    </w:p>
    <w:p>
      <w:pPr>
        <w:pStyle w:val="ListNumber"/>
        <w:numPr>
          <w:ilvl w:val="0"/>
          <w:numId w:val="10"/>
        </w:numPr>
      </w:pPr>
      <w:r>
        <w:t>Сообщить правовое основание владения автомобилем, данные собственника, работодателя и страховщика на дату ДТП.</w:t>
      </w:r>
    </w:p>
    <w:p>
      <w:pPr>
        <w:pStyle w:val="ListNumber"/>
        <w:numPr>
          <w:ilvl w:val="0"/>
          <w:numId w:val="10"/>
        </w:numPr>
      </w:pPr>
      <w:r>
        <w:t>При несогласии направить мотивированные возражения и контррасчёт.</w:t>
      </w:r>
    </w:p>
    <w:p>
      <w:pPr>
        <w:pStyle w:val="ListNumber"/>
        <w:numPr>
          <w:ilvl w:val="0"/>
          <w:numId w:val="10"/>
        </w:numPr>
      </w:pPr>
      <w:r>
        <w:t>Не отчуждать доказательства повреждений до согласованного осмотра; сообщить дату осмотра своего автомобиля, если это существенно.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При неизвестном виновнике или отсутствии ОСАГО компенсация РСА по общему правилу касается вреда жизни и здоровью в случаях, установленных законом, а не ремонта автомобиля. Для РСА используйте только официальное заявление.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материалы ДТП;</w:t>
      </w:r>
    </w:p>
    <w:p>
      <w:pPr>
        <w:pStyle w:val="ListBullet"/>
        <w:numPr>
          <w:ilvl w:val="0"/>
          <w:numId w:val="11"/>
        </w:numPr>
      </w:pPr>
      <w:r>
        <w:t>ответ страховщика / сведения об ОСАГО;</w:t>
      </w:r>
    </w:p>
    <w:p>
      <w:pPr>
        <w:pStyle w:val="ListBullet"/>
        <w:numPr>
          <w:ilvl w:val="0"/>
          <w:numId w:val="11"/>
        </w:numPr>
      </w:pPr>
      <w:r>
        <w:t>фото и видео;</w:t>
      </w:r>
    </w:p>
    <w:p>
      <w:pPr>
        <w:pStyle w:val="ListBullet"/>
        <w:numPr>
          <w:ilvl w:val="0"/>
          <w:numId w:val="11"/>
        </w:numPr>
      </w:pPr>
      <w:r>
        <w:t>отчёт оценщика / заказ-наряд;</w:t>
      </w:r>
    </w:p>
    <w:p>
      <w:pPr>
        <w:pStyle w:val="ListBullet"/>
        <w:numPr>
          <w:ilvl w:val="0"/>
          <w:numId w:val="11"/>
        </w:numPr>
      </w:pPr>
      <w:r>
        <w:t>приглашение на осмотр;</w:t>
      </w:r>
    </w:p>
    <w:p>
      <w:pPr>
        <w:pStyle w:val="ListBullet"/>
        <w:numPr>
          <w:ilvl w:val="0"/>
          <w:numId w:val="11"/>
        </w:numPr>
      </w:pPr>
      <w:r>
        <w:t>чеки;</w:t>
      </w:r>
    </w:p>
    <w:p>
      <w:pPr>
        <w:pStyle w:val="ListBullet"/>
        <w:numPr>
          <w:ilvl w:val="0"/>
          <w:numId w:val="11"/>
        </w:numPr>
      </w:pPr>
      <w:r>
        <w:t>реквизиты;</w:t>
      </w:r>
    </w:p>
    <w:p>
      <w:pPr>
        <w:pStyle w:val="ListBullet"/>
        <w:numPr>
          <w:ilvl w:val="0"/>
          <w:numId w:val="11"/>
        </w:numPr>
      </w:pPr>
      <w:r>
        <w:t>доказательство вручения.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1064, 1079, 1080, 1082 и 1083 ГК РФ; Федеральный закон № 40-ФЗ.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№253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