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Претензия о возмещении ущерба, причинённого заливом квартиры</w:t>
      </w:r>
    </w:p>
    <w:p>
      <w:pPr>
        <w:spacing w:after="40"/>
      </w:pPr>
      <w:r>
        <w:rPr>
          <w:b/>
          <w:color w:val="676767"/>
        </w:rPr>
        <w:t>Категория: Претензии  •  Статья сайта: №305</w:t>
      </w:r>
    </w:p>
    <w:p>
      <w:pPr>
        <w:spacing w:after="160"/>
      </w:pPr>
      <w:r>
        <w:rPr>
          <w:b/>
          <w:color w:val="676767"/>
          <w:sz w:val="19"/>
        </w:rPr>
        <w:t>Структура: ПРЕТЕНЗИЯ: адресат и заявитель • обстоятельства • правовые основания • требования • срок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Направляется только после установления места аварии и предполагаемой зоны ответственности. Адресатом может быть наниматель, собственник, УК/ТСЖ или несколько лиц.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[предполагаемое ответственное лицо,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Залив: [адрес, дата, акт]</w:t>
      </w:r>
    </w:p>
    <w:p>
      <w:pPr>
        <w:pStyle w:val="Heading1"/>
      </w:pPr>
      <w:r>
        <w:t>ПРЕТЕНЗИЯ О ВОЗМЕЩЕНИИ УЩЕРБА ОТ ЗАЛИВА</w:t>
      </w:r>
    </w:p>
    <w:p>
      <w:pPr>
        <w:pStyle w:val="Heading2"/>
      </w:pPr>
      <w:r>
        <w:t>ОБСТОЯТЕЛЬСТВА</w:t>
      </w:r>
    </w:p>
    <w:p>
      <w:r>
        <w:t>[Дата, время] произошёл залив квартиры [адрес]. По акту от [дата] источник — [место, оборудование], причина — [неисправность / действие]. Адресат отвечает за [чем подтверждается].</w:t>
      </w:r>
    </w:p>
    <w:p>
      <w:r>
        <w:t>Повреждены [отделка, мебель, техника]. Стоимость восстановления и утраты по отчёту / смете — [сумма] руб., расходы на оценку — [сумма] руб. На осмотр вы приглашены [дата, доказательство].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В срок [10 календарных дней / иной разумный срок] возместить ущерб [сумма] руб. и расходы [сумма] руб. по реквизитам [реквизиты].</w:t>
      </w:r>
    </w:p>
    <w:p>
      <w:pPr>
        <w:pStyle w:val="ListNumber"/>
        <w:numPr>
          <w:ilvl w:val="0"/>
          <w:numId w:val="10"/>
        </w:numPr>
      </w:pPr>
      <w:r>
        <w:t>Либо в тот же срок направить мотивированные возражения и документы о другом ответственном лице.</w:t>
      </w:r>
    </w:p>
    <w:p>
      <w:pPr>
        <w:pStyle w:val="ListNumber"/>
        <w:numPr>
          <w:ilvl w:val="0"/>
          <w:numId w:val="10"/>
        </w:numPr>
      </w:pPr>
      <w:r>
        <w:t>Не уничтожать и не изменять до окончания спора узел, деталь или другое доказательство причины залива без надлежащей фиксации.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выбирайте ответчика только по тому, чьё имя вписано в акт. Важны точное место аварии, причина, принадлежность оборудования и вина; ответчиков может быть несколько.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акт о заливе;</w:t>
      </w:r>
    </w:p>
    <w:p>
      <w:pPr>
        <w:pStyle w:val="ListBullet"/>
        <w:numPr>
          <w:ilvl w:val="0"/>
          <w:numId w:val="11"/>
        </w:numPr>
      </w:pPr>
      <w:r>
        <w:t>фото и видео;</w:t>
      </w:r>
    </w:p>
    <w:p>
      <w:pPr>
        <w:pStyle w:val="ListBullet"/>
        <w:numPr>
          <w:ilvl w:val="0"/>
          <w:numId w:val="11"/>
        </w:numPr>
      </w:pPr>
      <w:r>
        <w:t>отчёт оценщика / смета;</w:t>
      </w:r>
    </w:p>
    <w:p>
      <w:pPr>
        <w:pStyle w:val="ListBullet"/>
        <w:numPr>
          <w:ilvl w:val="0"/>
          <w:numId w:val="11"/>
        </w:numPr>
      </w:pPr>
      <w:r>
        <w:t>приглашение на осмот;</w:t>
      </w:r>
    </w:p>
    <w:p>
      <w:pPr>
        <w:pStyle w:val="ListBullet"/>
        <w:numPr>
          <w:ilvl w:val="0"/>
          <w:numId w:val="11"/>
        </w:numPr>
      </w:pPr>
      <w:r>
        <w:t>документы о расходах;</w:t>
      </w:r>
    </w:p>
    <w:p>
      <w:pPr>
        <w:pStyle w:val="ListBullet"/>
        <w:numPr>
          <w:ilvl w:val="0"/>
          <w:numId w:val="11"/>
        </w:numPr>
      </w:pPr>
      <w:r>
        <w:t>выписка ЕГРН или договор найма;</w:t>
      </w:r>
    </w:p>
    <w:p>
      <w:pPr>
        <w:pStyle w:val="ListBullet"/>
        <w:numPr>
          <w:ilvl w:val="0"/>
          <w:numId w:val="11"/>
        </w:numPr>
      </w:pPr>
      <w:r>
        <w:t>реквизиты для оплаты.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210, 309, 393, 401, 1064, 1082 ГК РФ; статьи 30, 161–162 ЖК РФ; Правила содержания общего имущества № 491.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№305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