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застройщику об устранении гарантийных недостатков</w:t>
      </w:r>
    </w:p>
    <w:p>
      <w:pPr>
        <w:pStyle w:val="SmallNote"/>
      </w:pPr>
      <w:r>
        <w:t>Категория: Претензии  •  Статья сайта: №262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недостатки объекта выявлены в гарантийный срок. Выберите одно основное требование, допустимое действующей редакцией закона и договором; альтернативы не складываются автоматически.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Застройщику: [наименование,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От участника: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ДДУ № [номер] • объект [адрес]</w:t>
      </w:r>
    </w:p>
    <w:p>
      <w:pPr>
        <w:pStyle w:val="Heading1"/>
      </w:pPr>
      <w:r>
        <w:t>ПРЕТЕНЗИЯ ОБ УСТРАНЕНИИ НЕДОСТАТКОВ ОБЪЕКТА ДОЛЕВОГО СТРОИТЕЛЬСТВА</w:t>
      </w:r>
    </w:p>
    <w:p>
      <w:pPr>
        <w:pStyle w:val="Heading2"/>
      </w:pPr>
      <w:r>
        <w:t>ОБСТОЯТЕЛЬСТВА</w:t>
      </w:r>
    </w:p>
    <w:p>
      <w:r>
        <w:t>Объект передан [дата]. В период гарантии выявлены: [дефект, место, дата, последствия]. Уведомление об осмотре направлено [дата]; акт / заключение [реквизиты].</w:t>
      </w:r>
    </w:p>
    <w:p>
      <w:r>
        <w:t>Недостатки препятствуют [нормальному использованию]. Они не вызваны естественным износом, нарушением эксплуатации или ремонтом участника, что подтверждается [доказательства].</w:t>
      </w:r>
    </w:p>
    <w:p>
      <w:pPr>
        <w:pStyle w:val="Heading2"/>
      </w:pPr>
      <w:r>
        <w:t>ПРАВОВЫЕ ОСНОВАНИЯ</w:t>
      </w:r>
    </w:p>
    <w:p>
      <w:r>
        <w:t>Объект должен соответствовать договору, обязательным требованиям и быть пригодным для предусмотренного использования. Условия об освобождении застройщика от ответственности за недостатки ничтожны. Требования предъявляются в пределах применимого гарантийного срока.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Безвозмездно устранить перечисленные недостатки в согласованный письменный срок [срок] и предоставить график работ.</w:t>
      </w:r>
    </w:p>
    <w:p>
      <w:pPr>
        <w:pStyle w:val="ListNumber"/>
        <w:numPr>
          <w:ilvl w:val="0"/>
          <w:numId w:val="10"/>
        </w:numPr>
      </w:pPr>
      <w:r>
        <w:t>Составить двусторонний акт осмотра и после ремонта — акт устранения с перечнем выполненных работ.</w:t>
      </w:r>
    </w:p>
    <w:p>
      <w:pPr>
        <w:pStyle w:val="ListNumber"/>
        <w:numPr>
          <w:ilvl w:val="0"/>
          <w:numId w:val="10"/>
        </w:numPr>
      </w:pPr>
      <w:r>
        <w:t>Сохранить доказательства причин дефектов и письменно сообщить ответственное лицо.</w:t>
      </w:r>
    </w:p>
    <w:p>
      <w:pPr>
        <w:pStyle w:val="ListNumber"/>
        <w:numPr>
          <w:ilvl w:val="0"/>
          <w:numId w:val="10"/>
        </w:numPr>
      </w:pPr>
      <w:r>
        <w:t>При отказе выдать мотивированный ответ с документами и предложением независимого обследования.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Перед расчётом санкций проверьте специальную редакцию статьи 7 Закона № 214-ФЗ и действующие временные ограничения. Не обещайте подрядчику самостоятельный ремонт до фиксации дефекта.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ДДУ и акт передачи;</w:t>
      </w:r>
    </w:p>
    <w:p>
      <w:pPr>
        <w:pStyle w:val="ListBullet"/>
        <w:numPr>
          <w:ilvl w:val="0"/>
          <w:numId w:val="11"/>
        </w:numPr>
      </w:pPr>
      <w:r>
        <w:t>фото / видео;</w:t>
      </w:r>
    </w:p>
    <w:p>
      <w:pPr>
        <w:pStyle w:val="ListBullet"/>
        <w:numPr>
          <w:ilvl w:val="0"/>
          <w:numId w:val="11"/>
        </w:numPr>
      </w:pPr>
      <w:r>
        <w:t>акт осмотра;</w:t>
      </w:r>
    </w:p>
    <w:p>
      <w:pPr>
        <w:pStyle w:val="ListBullet"/>
        <w:numPr>
          <w:ilvl w:val="0"/>
          <w:numId w:val="11"/>
        </w:numPr>
      </w:pPr>
      <w:r>
        <w:t>экспертное заключение / смета — при наличии;</w:t>
      </w:r>
    </w:p>
    <w:p>
      <w:pPr>
        <w:pStyle w:val="ListBullet"/>
        <w:numPr>
          <w:ilvl w:val="0"/>
          <w:numId w:val="11"/>
        </w:numPr>
      </w:pPr>
      <w:r>
        <w:t>переписка;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7 Федерального закона № 214-ФЗ; статьи 309–310, 721–724, 754–756 ГК РФ; применимые положения Закона РФ № 2300-1.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