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застройщику или подрядчику из-за просадки фундамента и трещин в соседнем доме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№457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установленному владельцу источника работ, застройщику и подрядчику после фиксации дефектов. Не утверждает техническую причину без обследования, а требует сохранения доказательств и урегулирования.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[застройщик / технический заказчик / подрядчик,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 собственника,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Повреждённый объект: [адрес, кадастровый номер]</w:t>
      </w:r>
    </w:p>
    <w:p>
      <w:pPr>
        <w:pStyle w:val="Heading1"/>
      </w:pPr>
      <w:r>
        <w:t>ПРЕТЕНЗИЯ О ПОВРЕЖДЕНИИ ДОМА ПРИ ПРОВЕДЕНИИ СТРОИТЕЛЬНЫХ РАБОТ</w:t>
      </w:r>
    </w:p>
    <w:p>
      <w:r>
        <w:t>После начала работ на объекте [адрес, вид работ, дата] в принадлежащем мне доме появились [перечень]. Исходное состояние подтверждается [старые фото, обследование], динамика — [маяки, фото, акты].</w:t>
      </w:r>
    </w:p>
    <w:p>
      <w:r>
        <w:t>Предварительный размер расходов составляет [сумма] руб., однако окончательная причина и стоимость будут уточнены обследованием / экспертизой.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Не уничтожать журналы работ, мониторинга, геодезические данные и сведения о водопонижении за период [даты].</w:t>
      </w:r>
    </w:p>
    <w:p>
      <w:pPr>
        <w:pStyle w:val="ListNumber"/>
        <w:numPr>
          <w:ilvl w:val="0"/>
          <w:numId w:val="10"/>
        </w:numPr>
      </w:pPr>
      <w:r>
        <w:t>Предоставить сведения о застройщике, подрядчиках, проекте, страховании ответственности и проведённом обследовании соседних объектов.</w:t>
      </w:r>
    </w:p>
    <w:p>
      <w:pPr>
        <w:pStyle w:val="ListNumber"/>
        <w:numPr>
          <w:ilvl w:val="0"/>
          <w:numId w:val="10"/>
        </w:numPr>
      </w:pPr>
      <w:r>
        <w:t>Принять участие в совместном осмотре [дата, время] и согласовать независимое обследование.</w:t>
      </w:r>
    </w:p>
    <w:p>
      <w:pPr>
        <w:pStyle w:val="ListNumber"/>
        <w:numPr>
          <w:ilvl w:val="0"/>
          <w:numId w:val="10"/>
        </w:numPr>
      </w:pPr>
      <w:r>
        <w:t>При подтверждении связи работ с повреждениями возместить стоимость обследования, восстановления и иные доказанные расходы.</w:t>
      </w:r>
    </w:p>
    <w:p>
      <w:pPr>
        <w:pStyle w:val="ListNumber"/>
        <w:numPr>
          <w:ilvl w:val="0"/>
          <w:numId w:val="10"/>
        </w:numPr>
      </w:pPr>
      <w:r>
        <w:t>До устранения угрозы выполнить предусмотренные специалистом противоаварийные меры.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начинайте косметический ремонт до осмотра, кроме срочных мер безопасности. Сохраните повреждения, маяки, счета и заключения.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правоустанавливающие документы;</w:t>
      </w:r>
    </w:p>
    <w:p>
      <w:pPr>
        <w:pStyle w:val="ListBullet"/>
        <w:numPr>
          <w:ilvl w:val="0"/>
          <w:numId w:val="11"/>
        </w:numPr>
      </w:pPr>
      <w:r>
        <w:t>фото до и после начала стройки;</w:t>
      </w:r>
    </w:p>
    <w:p>
      <w:pPr>
        <w:pStyle w:val="ListBullet"/>
        <w:numPr>
          <w:ilvl w:val="0"/>
          <w:numId w:val="11"/>
        </w:numPr>
      </w:pPr>
      <w:r>
        <w:t>акты, маяки и технические заключения;</w:t>
      </w:r>
    </w:p>
    <w:p>
      <w:pPr>
        <w:pStyle w:val="ListBullet"/>
        <w:numPr>
          <w:ilvl w:val="0"/>
          <w:numId w:val="11"/>
        </w:numPr>
      </w:pPr>
      <w:r>
        <w:t>смета и платёжные документы;</w:t>
      </w:r>
    </w:p>
    <w:p>
      <w:pPr>
        <w:pStyle w:val="ListBullet"/>
        <w:numPr>
          <w:ilvl w:val="0"/>
          <w:numId w:val="11"/>
        </w:numPr>
      </w:pPr>
      <w:r>
        <w:t>уведомление о совместном осмотре.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1064, 1065, 1068 и 1079 ГК РФ; применимые требования градостроительного законодательства и проектной документации.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