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Мировой судья (до 100 тыс.) / Районный суд (свыше)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Исковое заявление о понуждении к заключению договора возмездного оказания гостиничных услуг</w:t>
      </w:r>
    </w:p>
    <w:p>
      <w:r>
        <w:t xml:space="preserve">«___» ________ 20__ г. я заключил(а) с Ответчиком договор на оказание гостиничных услуг: [название гостиницы, номер, период] на сумму [сумма] руб.</w:t>
      </w:r>
    </w:p>
    <w:p>
      <w:r>
        <w:t xml:space="preserve">Ответчик нарушил условия: [номер не соответствует категории / не предоставили заявленные услуги / завысили цену / отказали в заселении без причины].</w:t>
      </w:r>
    </w:p>
    <w:p>
      <w:r>
        <w:t xml:space="preserve">Гостиничные услуги — публичный договор (ст. 426 ГК РФ): гостиница обязана обслуживать любого обратившегося и не может оказывать предпочтение.</w:t>
      </w:r>
    </w:p>
    <w:p>
      <w:r>
        <w:t xml:space="preserve">«___» ________ 20__ г. я направил(а) претензию, которая не удовлетворена.</w:t>
      </w:r>
    </w:p>
    <w:p/>
    <w:p>
      <w:r>
        <w:t xml:space="preserve">На основании изложенного, руководствуясь ст. 426 ГК РФ, Постановление Правительства № 1853 (Правила гостиничных услуг), ЗоЗПП,</w:t>
      </w:r>
    </w:p>
    <w:p>
      <w:r>
        <w:rPr>
          <w:b/>
          <w:bCs/>
        </w:rPr>
        <w:t xml:space="preserve">ПРОШУ:</w:t>
      </w:r>
    </w:p>
    <w:p>
      <w:r>
        <w:t xml:space="preserve">1. Взыскать уплаченную сумму (полностью или частично) — [сумма] руб.</w:t>
      </w:r>
    </w:p>
    <w:p>
      <w:r>
        <w:t xml:space="preserve">2. Взыскать неустойку 3% в день за нарушение сроков — [сумма] руб.</w:t>
      </w:r>
    </w:p>
    <w:p>
      <w:r>
        <w:t xml:space="preserve">3. Взыскать компенсацию морального вреда — [сумма] руб.</w:t>
      </w:r>
    </w:p>
    <w:p>
      <w:r>
        <w:t xml:space="preserve">4. Взыскать штраф 50% по ЗоЗПП.</w:t>
      </w:r>
    </w:p>
    <w:p/>
    <w:p>
      <w:r>
        <w:t xml:space="preserve">Приложения:</w:t>
      </w:r>
    </w:p>
    <w:p>
      <w:r>
        <w:t xml:space="preserve">1. договор / бронь / чек</w:t>
      </w:r>
    </w:p>
    <w:p>
      <w:r>
        <w:t xml:space="preserve">2. фото номера (если не соответствует)</w:t>
      </w:r>
    </w:p>
    <w:p>
      <w:r>
        <w:t xml:space="preserve">3. претензия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Гостиница обязана предоставлять услуги всем обратившимся на одинаковых условиях (ст. 426 ГК РФ).</w:t>
      </w:r>
    </w:p>
    <w:p>
      <w:r>
        <w:rPr>
          <w:i/>
          <w:iCs/>
          <w:sz w:val="18"/>
          <w:szCs w:val="18"/>
        </w:rPr>
        <w:t xml:space="preserve">• Подсудность: по выбору истца. До 100 тыс. руб. — мировой, свыше — районный.</w:t>
      </w:r>
    </w:p>
    <w:p>
      <w:r>
        <w:rPr>
          <w:i/>
          <w:iCs/>
          <w:sz w:val="18"/>
          <w:szCs w:val="18"/>
        </w:rPr>
        <w:t xml:space="preserve">• Связанные документы: [publichny-dogovor-salon-krasoty]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2026-08-22T06:27:15.206Z</dcterms:created>
  <dcterms:modified xsi:type="dcterms:W3CDTF">2026-08-22T06:27:15.206Z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