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Соглашение родителей о месте жительства ребёнка и порядке общения</w:t>
      </w:r>
    </w:p>
    <w:p>
      <w:pPr>
        <w:pStyle w:val="SmallNote"/>
      </w:pPr>
      <w:r>
        <w:t>Категория: Договоры  •  Статья сайта: №275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Если родители договорились, с кем живёт ребёнок и как второй родитель с ним общается. Это не заменяет нотариальное соглашение об алиментах.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Родитель 1: [ФИО, паспорт,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Родитель 2: [ФИО, паспорт,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рождения, свидетельство о рождении]</w:t>
      </w:r>
    </w:p>
    <w:p>
      <w:pPr>
        <w:pStyle w:val="Heading1"/>
      </w:pPr>
      <w:r>
        <w:t>СОГЛАШЕНИЕ О МЕСТЕ ЖИТЕЛЬСТВА РЕБЁНКА И ПОРЯДКЕ ОСУЩЕСТВЛЕНИЯ РОДИТЕЛЬСКИХ ПРАВ</w:t>
      </w:r>
    </w:p>
    <w:p>
      <w:pPr>
        <w:pStyle w:val="Heading2"/>
      </w:pPr>
      <w:r>
        <w:t>ПРЕДМЕТ СОГЛАШЕНИЯ</w:t>
      </w:r>
    </w:p>
    <w:p>
      <w:r>
        <w:t>Родители, исходя из интересов ребёнка, определили его место жительства с [ФИО родителя] по адресу [адрес]. Изменение адреса, школы или длительный выезд заранее обсуждаются в письменной форме.</w:t>
      </w:r>
    </w:p>
    <w:p>
      <w:pPr>
        <w:pStyle w:val="Heading2"/>
      </w:pPr>
      <w:r>
        <w:t>ОБЩЕНИЕ И ПЕРЕДАЧА РЕБЁНКА</w:t>
      </w:r>
    </w:p>
    <w:p>
      <w:pPr>
        <w:pStyle w:val="ListNumber"/>
        <w:numPr>
          <w:ilvl w:val="0"/>
          <w:numId w:val="10"/>
        </w:numPr>
      </w:pPr>
      <w:r>
        <w:t>Личные встречи: [дни, время, место передачи, кто привозит и возвращает].</w:t>
      </w:r>
    </w:p>
    <w:p>
      <w:pPr>
        <w:pStyle w:val="ListNumber"/>
        <w:numPr>
          <w:ilvl w:val="0"/>
          <w:numId w:val="10"/>
        </w:numPr>
      </w:pPr>
      <w:r>
        <w:t>Каникулы, праздники и дни рождения: [точное чередование].</w:t>
      </w:r>
    </w:p>
    <w:p>
      <w:pPr>
        <w:pStyle w:val="ListNumber"/>
        <w:numPr>
          <w:ilvl w:val="0"/>
          <w:numId w:val="10"/>
        </w:numPr>
      </w:pPr>
      <w:r>
        <w:t>Телефонная и видеосвязь: [время и частота], без контроля содержания общения, если нет угрозы ребёнку.</w:t>
      </w:r>
    </w:p>
    <w:p>
      <w:pPr>
        <w:pStyle w:val="Heading2"/>
      </w:pPr>
      <w:r>
        <w:t>ЗДОРОВЬЕ, ОБУЧЕНИЕ И ИНФОРМАЦИЯ</w:t>
      </w:r>
    </w:p>
    <w:p>
      <w:r>
        <w:t>Родители обмениваются сведениями о здоровье, лечении, учёбе и неотложных событиях не позднее [срок]. Важные решения принимаются с учётом мнения ребёнка и равенства родительских прав.</w:t>
      </w:r>
    </w:p>
    <w:p>
      <w:pPr>
        <w:pStyle w:val="Heading2"/>
      </w:pPr>
      <w:r>
        <w:t>СРОК И ИЗМЕНЕНИЕ</w:t>
      </w:r>
    </w:p>
    <w:p>
      <w:r>
        <w:t>Соглашение действует с [дата]. Оно изменяется по письменному согласию родителей, а при споре — судом. Каждый родитель получает подписанный экземпляр.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Удалите неподходящие пункты. Режим должен быть исполнимым и не нарушать права ребёнка. Подписи обоих родителей обязательны.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свидетельства о рождении;</w:t>
      </w:r>
    </w:p>
    <w:p>
      <w:pPr>
        <w:pStyle w:val="ListBullet"/>
        <w:numPr>
          <w:ilvl w:val="0"/>
          <w:numId w:val="11"/>
        </w:numPr>
      </w:pPr>
      <w:r>
        <w:t>календарь общения — если вынесен в отдельную таблицу;</w:t>
      </w:r>
    </w:p>
    <w:p>
      <w:pPr>
        <w:pStyle w:val="ListBullet"/>
        <w:numPr>
          <w:ilvl w:val="0"/>
          <w:numId w:val="11"/>
        </w:numPr>
      </w:pPr>
      <w:r>
        <w:t>медицинские и школьные особенности ребёнка — при наличии;</w:t>
      </w:r>
    </w:p>
    <w:p>
      <w:pPr>
        <w:pStyle w:val="ListBullet"/>
        <w:numPr>
          <w:ilvl w:val="0"/>
          <w:numId w:val="11"/>
        </w:numPr>
      </w:pPr>
      <w:r>
        <w:t>два подписанных экземпля.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55, 61, 63, 65 и 66 СК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№275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