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АЗС сохранить видеозаписи и документы по спорной заправке</w:t>
      </w:r>
    </w:p>
    <w:p>
      <w:pPr>
        <w:pStyle w:val="SmallNote"/>
      </w:pPr>
      <w:r>
        <w:t>Категория: Заявления  •  Статья сайта: №252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Сразу после поломки, до истечения сроков хранения камер, сменных отчётов и сведений о партии топлива.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Оператору / владельцу АЗС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Чек / операция [дата, время, колонка, вид топлива]</w:t>
      </w:r>
    </w:p>
    <w:p>
      <w:pPr>
        <w:pStyle w:val="Heading1"/>
      </w:pPr>
      <w:r>
        <w:t>ТРЕБОВАНИЕ О СОХРАНЕНИИ ДОКАЗАТЕЛЬСТВ ПО ФАКТУ ЗАПРАВКИ</w:t>
      </w:r>
    </w:p>
    <w:p>
      <w:pPr>
        <w:pStyle w:val="Heading2"/>
      </w:pPr>
      <w:r>
        <w:t>ОБСТОЯТЕЛЬСТВА</w:t>
      </w:r>
    </w:p>
    <w:p>
      <w:r>
        <w:t>[Дата, время] на АЗС [адрес] приобретено [вид, объём] топлива. После заправки возникли [симптомы], автомобиль доставлен [куда].</w:t>
      </w:r>
    </w:p>
    <w:p>
      <w:r>
        <w:t>Спор касается качества/соответствия топлива и причинной связи. Идентифицирующие партию и отпуск сведения могут быть утрачены.</w:t>
      </w:r>
    </w:p>
    <w:p>
      <w:pPr>
        <w:pStyle w:val="Heading2"/>
      </w:pPr>
      <w:r>
        <w:t>ПРАВОВЫЕ ОСНОВАНИЯ</w:t>
      </w:r>
    </w:p>
    <w:p>
      <w:r>
        <w:t>Продавец обязан предоставить достоверную информацию и нести ответственность за недостатки товара при установленных законом условиях. Сохранение конкретных источников позволяет провести проверку и экспертизу.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Сохранить видео территории, кассы, колонки и операции за период [время].</w:t>
      </w:r>
    </w:p>
    <w:p>
      <w:pPr>
        <w:pStyle w:val="ListNumber"/>
        <w:numPr>
          <w:ilvl w:val="0"/>
          <w:numId w:val="10"/>
        </w:numPr>
      </w:pPr>
      <w:r>
        <w:t>Сохранить сменный отчёт, сведения о резервуаре, поставке и партии, паспорта качества, журналы приёмки, замеров, слива, отбора проб и обслуживания оборудования.</w:t>
      </w:r>
    </w:p>
    <w:p>
      <w:pPr>
        <w:pStyle w:val="ListNumber"/>
        <w:numPr>
          <w:ilvl w:val="0"/>
          <w:numId w:val="10"/>
        </w:numPr>
      </w:pPr>
      <w:r>
        <w:t>Сообщить изготовителя/поставщика, обозначение топлива и документы о соответствии, относящиеся к операции.</w:t>
      </w:r>
    </w:p>
    <w:p>
      <w:pPr>
        <w:pStyle w:val="ListNumber"/>
        <w:numPr>
          <w:ilvl w:val="0"/>
          <w:numId w:val="10"/>
        </w:numPr>
      </w:pPr>
      <w:r>
        <w:t>Не уничтожать контрольные/арбитражные пробы, если они отбирались, и письменно сообщить порядок совместного отбора новой пробы.</w:t>
      </w:r>
    </w:p>
    <w:p>
      <w:pPr>
        <w:pStyle w:val="ListNumber"/>
        <w:numPr>
          <w:ilvl w:val="0"/>
          <w:numId w:val="10"/>
        </w:numPr>
      </w:pPr>
      <w:r>
        <w:t>Зарегистрировать обращение и сообщить ответственное лицо для осмотра и урегулирования.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требуйте выдать внутренние документы, содержащие чужие персональные данные, без ограничения объёма. Если АЗС отказывается, документы и записи впоследствии истребуются судом или контрольным органом.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чек / банковская выписка;</w:t>
      </w:r>
    </w:p>
    <w:p>
      <w:pPr>
        <w:pStyle w:val="ListBullet"/>
        <w:numPr>
          <w:ilvl w:val="0"/>
          <w:numId w:val="11"/>
        </w:numPr>
      </w:pPr>
      <w:r>
        <w:t>фото колонки и табло;</w:t>
      </w:r>
    </w:p>
    <w:p>
      <w:pPr>
        <w:pStyle w:val="ListBullet"/>
        <w:numPr>
          <w:ilvl w:val="0"/>
          <w:numId w:val="11"/>
        </w:numPr>
      </w:pPr>
      <w:r>
        <w:t>диагностика автомобиля;</w:t>
      </w:r>
    </w:p>
    <w:p>
      <w:pPr>
        <w:pStyle w:val="ListBullet"/>
        <w:numPr>
          <w:ilvl w:val="0"/>
          <w:numId w:val="11"/>
        </w:numPr>
      </w:pPr>
      <w:r>
        <w:t>документы об эвакуации;</w:t>
      </w:r>
    </w:p>
    <w:p>
      <w:pPr>
        <w:pStyle w:val="ListBullet"/>
        <w:numPr>
          <w:ilvl w:val="0"/>
          <w:numId w:val="11"/>
        </w:numPr>
      </w:pPr>
      <w:r>
        <w:t>доверенность — при необходимости;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10, 12, 14 и 18 Закона РФ № 2300-1; статьи 469, 475 и 503 ГК РФ; технические регламенты и обязательные требования к соответствующему виду топлива.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