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владельцу или пользователю коммерческого помещения устранить шум и вибрацию</w:t>
      </w:r>
    </w:p>
    <w:p>
      <w:pPr>
        <w:pStyle w:val="SmallNote"/>
      </w:pPr>
      <w:r>
        <w:t>Категория: Претензии  •  Статья сайта: №235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Ресторан, бар, магазин, салон, мастерская или другое нежилое помещение создаёт устойчивый шум, музыку, вибрацию либо шум оборудования, мешающий жильцам.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[собственник и фактический пользователь помещения,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 квартиры, контакты]</w:t>
      </w:r>
    </w:p>
    <w:p>
      <w:pPr>
        <w:spacing w:after="40"/>
        <w:jc w:val="left"/>
      </w:pPr>
      <w:r>
        <w:rPr>
          <w:color w:val="14213D"/>
          <w:sz w:val="20"/>
        </w:rPr>
        <w:t>Объект: [адрес, вывеска/наименование]</w:t>
      </w:r>
    </w:p>
    <w:p>
      <w:pPr>
        <w:pStyle w:val="Heading1"/>
      </w:pPr>
      <w:r>
        <w:t>ТРЕБОВАНИЕ ОБ УСТРАНЕНИИ ШУМА И ВИБРАЦИИ ОТ КОММЕРЧЕСКОГО ОБЪЕКТА</w:t>
      </w:r>
    </w:p>
    <w:p>
      <w:pPr>
        <w:pStyle w:val="Heading2"/>
      </w:pPr>
      <w:r>
        <w:t>ОБСТОЯТЕЛЬСТВА</w:t>
      </w:r>
    </w:p>
    <w:p>
      <w:r>
        <w:t>С [дата] из помещения [адрес] поступают [музыка, удары, гул вентиляции, разгрузка]. Наиболее выражено: [дни, точное время, длительность]. Факты зафиксированы [журнал, видео, свидетели, обращения].</w:t>
      </w:r>
    </w:p>
    <w:p>
      <w:r>
        <w:t>Источник предположительно связан с [оборудованием/деятельностью], однако окончательная причина должна быть установлена обследованием и измерениями. Ранее обращение от [дата] результата не дало.</w:t>
      </w:r>
    </w:p>
    <w:p>
      <w:pPr>
        <w:pStyle w:val="Heading2"/>
      </w:pPr>
      <w:r>
        <w:t>ПРАВОВЫЕ ОСНОВАНИЯ</w:t>
      </w:r>
    </w:p>
    <w:p>
      <w:r>
        <w:t>Использование помещения не должно нарушать права и законные интересы граждан и санитарные требования. Собственник вправе требовать устранения продолжающегося нарушения; режим тишины дополнительно определяется законом соответствующего субъекта РФ.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течение [срок] обследовать оборудование и ограждающие конструкции, установить источники воздушного и ударного шума и вибрации.</w:t>
      </w:r>
    </w:p>
    <w:p>
      <w:pPr>
        <w:pStyle w:val="ListNumber"/>
        <w:numPr>
          <w:ilvl w:val="0"/>
          <w:numId w:val="10"/>
        </w:numPr>
      </w:pPr>
      <w:r>
        <w:t>Немедленно прекратить действия, нарушающие региональный режим тишины; изменить режим разгрузки, музыки и работ в применимой части.</w:t>
      </w:r>
    </w:p>
    <w:p>
      <w:pPr>
        <w:pStyle w:val="ListNumber"/>
        <w:numPr>
          <w:ilvl w:val="0"/>
          <w:numId w:val="10"/>
        </w:numPr>
      </w:pPr>
      <w:r>
        <w:t>Организовать контрольные измерения аккредитованной организацией в характерные периоды с извещением заявителя.</w:t>
      </w:r>
    </w:p>
    <w:p>
      <w:pPr>
        <w:pStyle w:val="ListNumber"/>
        <w:numPr>
          <w:ilvl w:val="0"/>
          <w:numId w:val="10"/>
        </w:numPr>
      </w:pPr>
      <w:r>
        <w:t>Устранить подтверждённые нарушения техническими и организационными мерами и письменно сообщить срок и результат.</w:t>
      </w:r>
    </w:p>
    <w:p>
      <w:pPr>
        <w:pStyle w:val="ListNumber"/>
        <w:numPr>
          <w:ilvl w:val="0"/>
          <w:numId w:val="10"/>
        </w:numPr>
      </w:pPr>
      <w:r>
        <w:t>Сохранить записи камер, журналы работы оборудования и обращения жильцов за указанные даты.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Запись телефона сама по себе обычно не заменяет профессиональные измерения. В требовании разделяйте шум оборудования, музыку и поведение посетителей: у них могут быть разные доказательства и адресаты.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журнал шума;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аудиозаписи как вспомогательный материал;</w:t>
      </w:r>
    </w:p>
    <w:p>
      <w:pPr>
        <w:pStyle w:val="ListBullet"/>
        <w:numPr>
          <w:ilvl w:val="0"/>
          <w:numId w:val="11"/>
        </w:numPr>
      </w:pPr>
      <w:r>
        <w:t>обращения жильцов;</w:t>
      </w:r>
    </w:p>
    <w:p>
      <w:pPr>
        <w:pStyle w:val="ListBullet"/>
        <w:numPr>
          <w:ilvl w:val="0"/>
          <w:numId w:val="11"/>
        </w:numPr>
      </w:pPr>
      <w:r>
        <w:t>акты и протоколы измерений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304 и 1065 ГК РФ; статьи 17 и 30 ЖК РФ; статьи 23 и 24 Федерального закона № 52-ФЗ; СанПиН 1.2.3685-21; закон субъекта РФ о тишине.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