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наследникам возместить расходы на содержание квартиры умершего</w:t>
      </w:r>
    </w:p>
    <w:p>
      <w:pPr>
        <w:spacing w:after="40"/>
      </w:pPr>
      <w:r>
        <w:rPr>
          <w:b/>
          <w:color w:val="676767"/>
        </w:rPr>
        <w:t>Категория: Претензии  •  Статья сайта: №465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Направляется принявшим наследство совладельцам после разделения обязательных расходов, личного потребления и несогласованных улучшений.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[ФИО каждого наследника,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Квартира: [адрес], наследственное дело № [номер]</w:t>
      </w:r>
    </w:p>
    <w:p>
      <w:pPr>
        <w:pStyle w:val="Heading1"/>
      </w:pPr>
      <w:r>
        <w:t>ТРЕБОВАНИЕ О ВОЗМЕЩЕНИИ ДОЛИ НЕОБХОДИМЫХ РАСХОДОВ</w:t>
      </w:r>
    </w:p>
    <w:p>
      <w:r>
        <w:t>После смерти [ФИО, дата] наследство приняли [лица и доли]. За период [период] я оплатил(а) необходимые расходы по квартире [адрес] на общую сумму [сумма] руб.</w:t>
      </w:r>
    </w:p>
    <w:p>
      <w:r>
        <w:t>Расчёт разделён на обязательные платежи за содержание общего имущества, налоги, отопление и необходимый аварийный ремонт. Личные коммунальные расходы проживающего лица и несогласованные улучшения в требование не включены / выделены отдельно.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Возместить рассчитанную по вашей наследственной доле сумму [сумма] руб. до [дата].</w:t>
      </w:r>
    </w:p>
    <w:p>
      <w:pPr>
        <w:pStyle w:val="ListNumber"/>
        <w:numPr>
          <w:ilvl w:val="0"/>
          <w:numId w:val="10"/>
        </w:numPr>
      </w:pPr>
      <w:r>
        <w:t>При несогласии указать конкретный платёж и основание возражения, а не отказываться от расчёта целиком.</w:t>
      </w:r>
    </w:p>
    <w:p>
      <w:pPr>
        <w:pStyle w:val="ListNumber"/>
        <w:numPr>
          <w:ilvl w:val="0"/>
          <w:numId w:val="10"/>
        </w:numPr>
      </w:pPr>
      <w:r>
        <w:t>Согласовать дальнейший порядок оплаты обязательных расходов и передачу показаний счётчиков.</w:t>
      </w:r>
    </w:p>
    <w:p>
      <w:pPr>
        <w:pStyle w:val="ListNumber"/>
        <w:numPr>
          <w:ilvl w:val="0"/>
          <w:numId w:val="10"/>
        </w:numPr>
      </w:pPr>
      <w:r>
        <w:t>Рассмотреть зачёт подтверждённых расходов при заключении соглашения о разделе наследства.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Расходы на похороны, последнюю болезнь и охрану наследства считаются отдельно по статье 1174 ГК РФ.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свидетельства о наследстве и выписка ЕГРН;</w:t>
      </w:r>
    </w:p>
    <w:p>
      <w:pPr>
        <w:pStyle w:val="ListBullet"/>
        <w:numPr>
          <w:ilvl w:val="0"/>
          <w:numId w:val="11"/>
        </w:numPr>
      </w:pPr>
      <w:r>
        <w:t>таблица расчёта по платежам и долям;</w:t>
      </w:r>
    </w:p>
    <w:p>
      <w:pPr>
        <w:pStyle w:val="ListBullet"/>
        <w:numPr>
          <w:ilvl w:val="0"/>
          <w:numId w:val="11"/>
        </w:numPr>
      </w:pPr>
      <w:r>
        <w:t>квитанции, чеки и банковские выписки;</w:t>
      </w:r>
    </w:p>
    <w:p>
      <w:pPr>
        <w:pStyle w:val="ListBullet"/>
        <w:numPr>
          <w:ilvl w:val="0"/>
          <w:numId w:val="11"/>
        </w:numPr>
      </w:pPr>
      <w:r>
        <w:t>акты аварии, сметы и фотографии;</w:t>
      </w:r>
    </w:p>
    <w:p>
      <w:pPr>
        <w:pStyle w:val="ListBullet"/>
        <w:numPr>
          <w:ilvl w:val="0"/>
          <w:numId w:val="11"/>
        </w:numPr>
      </w:pPr>
      <w:r>
        <w:t>переписка о согласовании расходов.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249, 1152, 1164, 1174 и 1175 ГК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№465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