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Кому: [Ф.И.О. супруга / бывшего супруга / второго собственника]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ТРЕБОВАНИЕ</w:t>
        <w:br/>
        <w:t>об оформлении долей детей в жилье, приобретенном с использованием материнского капитала</w:t>
      </w:r>
    </w:p>
    <w:p>
      <w:pPr>
        <w:spacing w:after="60" w:line="247" w:lineRule="auto"/>
      </w:pPr>
      <w:r>
        <w:t>При приобретении/строительстве жилого помещения по адресу [___] использованы средства материнского (семейного) капитала в размере [___] руб., что подтверждается [___]. В ЕГРН в настоящее время зарегистрировано право [описать], доли детей [не зарегистрированы / зарегистрированы не полностью].</w:t>
      </w:r>
    </w:p>
    <w:p>
      <w:pPr>
        <w:spacing w:after="60" w:line="247" w:lineRule="auto"/>
      </w:pPr>
      <w:r>
        <w:t>Часть 4 ст. 10 Федерального закона №256-ФЗ обязывает владельца сертификата и супруга оформить такое жилье в общую собственность родителей и детей с определением долей по соглашению.</w:t>
      </w:r>
    </w:p>
    <w:p>
      <w:pPr>
        <w:pStyle w:val="Heading2"/>
        <w:spacing w:before="140" w:after="60"/>
      </w:pPr>
      <w:r>
        <w:t>Предлагаю и требую</w:t>
      </w:r>
    </w:p>
    <w:p>
      <w:pPr>
        <w:spacing w:after="40"/>
        <w:ind w:left="255" w:hanging="159"/>
      </w:pPr>
      <w:r>
        <w:t>1. В течение 10 календарных дней согласовать размеры долей детей с учетом суммы маткапитала, состава семьи и документов приобретения.</w:t>
      </w:r>
    </w:p>
    <w:p>
      <w:pPr>
        <w:spacing w:after="40"/>
        <w:ind w:left="255" w:hanging="159"/>
      </w:pPr>
      <w:r>
        <w:t>2. Подписать соглашение об определении долей в форме, соответствующей фактическому режиму собственности; при необходимости совместно обратиться к нотариусу.</w:t>
      </w:r>
    </w:p>
    <w:p>
      <w:pPr>
        <w:spacing w:after="40"/>
        <w:ind w:left="255" w:hanging="159"/>
      </w:pPr>
      <w:r>
        <w:t>3. Совместно подать документы на государственную регистрацию прав детей в Росреестр/МФЦ.</w:t>
      </w:r>
    </w:p>
    <w:p>
      <w:pPr>
        <w:spacing w:after="40"/>
        <w:ind w:left="255" w:hanging="159"/>
      </w:pPr>
      <w:r>
        <w:t>4. До регистрации прав детей не совершать действий по отчуждению/обременению объекта, способных затруднить исполнение обязанности, без отдельной правовой оценки и необходимых разрешений.</w:t>
      </w:r>
    </w:p>
    <w:p>
      <w:pPr>
        <w:spacing w:after="40"/>
        <w:ind w:left="255" w:hanging="159"/>
      </w:pPr>
      <w:r>
        <w:t>5. Письменно сообщить мотивированные возражения и представить документы, если Вы считаете обязанность исполненной или объект/состав семьи определен иначе.</w:t>
      </w:r>
    </w:p>
    <w:p>
      <w:pPr>
        <w:spacing w:after="60" w:line="247" w:lineRule="auto"/>
      </w:pPr>
      <w:r>
        <w:t>При отказе спор об определении долей и регистрации прав может быть передан в суд. Если между интересами родителя и ребенка возникает конфликт, вопрос представительства ребенка должен решаться с участием органа опеки в порядке семейного законодательства.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• Выписка ЕГРН.</w:t>
      </w:r>
    </w:p>
    <w:p>
      <w:pPr>
        <w:spacing w:after="40"/>
        <w:ind w:left="255" w:hanging="159"/>
      </w:pPr>
      <w:r>
        <w:t>• Документы о приобретении жилья.</w:t>
      </w:r>
    </w:p>
    <w:p>
      <w:pPr>
        <w:spacing w:after="40"/>
        <w:ind w:left="255" w:hanging="159"/>
      </w:pPr>
      <w:r>
        <w:t>• Сведения о направлении средств маткапитала.</w:t>
      </w:r>
    </w:p>
    <w:p>
      <w:pPr>
        <w:spacing w:after="40"/>
        <w:ind w:left="255" w:hanging="159"/>
      </w:pPr>
      <w:r>
        <w:t>• Проект соглашения.</w:t>
      </w:r>
    </w:p>
    <w:p>
      <w:pPr>
        <w:spacing w:after="60" w:line="247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