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работодателю о прекращении незаконных переработок, учёте и оплате</w:t>
      </w:r>
    </w:p>
    <w:p>
      <w:pPr>
        <w:pStyle w:val="SmallNote"/>
      </w:pPr>
      <w:r>
        <w:t>Категория: Претензии  •  Статья сайта: №272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после смены заставляют оставаться, вызывают в выходные или не учитывают фактические часы. Сверхурочная работа и работа в выходной — разные режимы.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Работодателю: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должность, подразделение, контакты]</w:t>
      </w:r>
    </w:p>
    <w:p>
      <w:pPr>
        <w:pStyle w:val="Heading1"/>
      </w:pPr>
      <w:r>
        <w:t>ТРЕБОВАНИЕ О СОБЛЮДЕНИИ РЕЖИМА РАБОЧЕГО ВРЕМЕНИ И ОПЛАТЕ ПЕРЕРАБОТКИ</w:t>
      </w:r>
    </w:p>
    <w:p>
      <w:pPr>
        <w:pStyle w:val="Heading2"/>
      </w:pPr>
      <w:r>
        <w:t>ОБСТОЯТЕЛЬСТВА</w:t>
      </w:r>
    </w:p>
    <w:p>
      <w:r>
        <w:t>Мой режим: [график]. Фактически по распоряжениям [лицо] я работал(а) сверх графика [даты и часы]. Доказательства: [приказы, переписка, турникет, система задач].</w:t>
      </w:r>
    </w:p>
    <w:p>
      <w:r>
        <w:t>Оплата не произведена / произведена неполностью. Мой расчёт: [таблица по датам].</w:t>
      </w:r>
    </w:p>
    <w:p>
      <w:pPr>
        <w:pStyle w:val="Heading2"/>
      </w:pPr>
      <w:r>
        <w:t>ПРАВОВЫЕ ОСНОВАНИЯ</w:t>
      </w:r>
    </w:p>
    <w:p>
      <w:r>
        <w:t>Работодатель обязан вести точный учёт рабочего времени. Сверхурочная работа допускается в случаях и порядке статьи 99 ТК РФ и оплачивается по статье 152. Выходные и праздничные дни регулируются статьями 113 и 153 и считаются отдельно.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Прекратить привлечение к работе за пределами графика без предусмотренных законом оснований и оформления.</w:t>
      </w:r>
    </w:p>
    <w:p>
      <w:pPr>
        <w:pStyle w:val="ListNumber"/>
        <w:numPr>
          <w:ilvl w:val="0"/>
          <w:numId w:val="10"/>
        </w:numPr>
      </w:pPr>
      <w:r>
        <w:t>Учесть по каждой дате фактически отработанное время и выдать копии табелей и приказов.</w:t>
      </w:r>
    </w:p>
    <w:p>
      <w:pPr>
        <w:pStyle w:val="ListNumber"/>
        <w:numPr>
          <w:ilvl w:val="0"/>
          <w:numId w:val="10"/>
        </w:numPr>
      </w:pPr>
      <w:r>
        <w:t>Выплатить [сумма] руб. по приложенному расчёту и компенсацию за задержку по ст. 236 ТК РФ.</w:t>
      </w:r>
    </w:p>
    <w:p>
      <w:pPr>
        <w:pStyle w:val="ListNumber"/>
        <w:numPr>
          <w:ilvl w:val="0"/>
          <w:numId w:val="10"/>
        </w:numPr>
      </w:pPr>
      <w:r>
        <w:t>Дать письменный ответ и контррасчёт в течение [срок].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 расчёте применяйте редакцию закона, действовавшую в конкретный период. Статья 152 ТК РФ изменялась; нельзя одной формулой считать все прошлые периоды.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таблица смен и расчёт;</w:t>
      </w:r>
    </w:p>
    <w:p>
      <w:pPr>
        <w:pStyle w:val="ListBullet"/>
        <w:numPr>
          <w:ilvl w:val="0"/>
          <w:numId w:val="11"/>
        </w:numPr>
      </w:pPr>
      <w:r>
        <w:t>приказы, переписка, скриншоты задач;</w:t>
      </w:r>
    </w:p>
    <w:p>
      <w:pPr>
        <w:pStyle w:val="ListBullet"/>
        <w:numPr>
          <w:ilvl w:val="0"/>
          <w:numId w:val="11"/>
        </w:numPr>
      </w:pPr>
      <w:r>
        <w:t>данные системы доступа и иные первичные данные;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91, 99, 113, 152, 153 и 236 ТК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