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работодателю прекратить постоянное отслеживание геолокации через личный телефон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№480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Работодатель требует установить приложение на личный телефон и передавать местоположение постоянно либо после окончания работы. Документ не запрещает законный контроль рабочего задания, а требует определить его цель, пределы и режим.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Работодателю: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работника: [ФИО, должность, подразделение]</w:t>
      </w:r>
    </w:p>
    <w:p>
      <w:pPr>
        <w:spacing w:after="40"/>
        <w:jc w:val="left"/>
      </w:pPr>
      <w:r>
        <w:rPr>
          <w:color w:val="14213D"/>
          <w:sz w:val="20"/>
        </w:rPr>
        <w:t>Контакты: [телефон, e-mail]</w:t>
      </w:r>
    </w:p>
    <w:p>
      <w:pPr>
        <w:pStyle w:val="Heading1"/>
      </w:pPr>
      <w:r>
        <w:t>ТРЕБОВАНИЕ О ПРАВОВОМ ОСНОВАНИИ И ПРЕКРАЩЕНИИ ИЗБЫТОЧНОГО ОТСЛЕЖИВАНИЯ ГЕОЛОКАЦИИ</w:t>
      </w:r>
    </w:p>
    <w:p>
      <w:r>
        <w:t>[Дата] мне предложено / предписано установить на личный телефон приложение [название] и передавать геолокацию [режим]. Система продолжает / может продолжать сбор данных после окончания рабочего времени, в выходные либо во время личных поездок.</w:t>
      </w:r>
    </w:p>
    <w:p>
      <w:r>
        <w:t>Я готов(а) исполнять законные трудовые обязанности и подтверждать выполнение рабочего задания соразмерным способом. Вместе с тем постоянное отслеживание личного устройства затрагивает сведения о частной жизни и должно иметь определённые цель, основание, объём и срок.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Предоставить для ознакомления локальный нормативный акт, положение об обработке персональных данных, инструкцию по системе, перечень собираемых сведений, цели, сроки хранения и круг лиц, имеющих доступ.</w:t>
      </w:r>
    </w:p>
    <w:p>
      <w:pPr>
        <w:pStyle w:val="ListNumber"/>
        <w:numPr>
          <w:ilvl w:val="0"/>
          <w:numId w:val="10"/>
        </w:numPr>
      </w:pPr>
      <w:r>
        <w:t>Сообщить правовое основание обработки геолокации, наименование владельца приложения и всех получателей данных, а также порядок отзыва согласия, если обработка основана на согласии.</w:t>
      </w:r>
    </w:p>
    <w:p>
      <w:pPr>
        <w:pStyle w:val="ListNumber"/>
        <w:numPr>
          <w:ilvl w:val="0"/>
          <w:numId w:val="10"/>
        </w:numPr>
      </w:pPr>
      <w:r>
        <w:t>Отключить сбор местоположения вне рабочего времени и удалить избыточные данные, если отсутствует самостоятельное законное основание для их хранения.</w:t>
      </w:r>
    </w:p>
    <w:p>
      <w:pPr>
        <w:pStyle w:val="ListNumber"/>
        <w:numPr>
          <w:ilvl w:val="0"/>
          <w:numId w:val="10"/>
        </w:numPr>
      </w:pPr>
      <w:r>
        <w:t>Предложить соразмерный рабочий способ контроля: служебное устройство, отметку о начале и окончании задания либо включение геолокации только на период конкретной работы.</w:t>
      </w:r>
    </w:p>
    <w:p>
      <w:pPr>
        <w:pStyle w:val="ListNumber"/>
        <w:numPr>
          <w:ilvl w:val="0"/>
          <w:numId w:val="10"/>
        </w:numPr>
      </w:pPr>
      <w:r>
        <w:t>Не применять дисциплинарные меры за отказ от круглосуточного отслеживания до письменного разъяснения законности и границ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отключайте необходимую рабочую связь самовольно в разгар задания. Письменно отделите выполнение работы от возражения против слежения вне рабочего времени.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требования и настроек приложения;</w:t>
      </w:r>
    </w:p>
    <w:p>
      <w:pPr>
        <w:pStyle w:val="ListBullet"/>
        <w:numPr>
          <w:ilvl w:val="0"/>
          <w:numId w:val="11"/>
        </w:numPr>
      </w:pPr>
      <w:r>
        <w:t>трудовой договор и должностная инструкция;</w:t>
      </w:r>
    </w:p>
    <w:p>
      <w:pPr>
        <w:pStyle w:val="ListBullet"/>
        <w:numPr>
          <w:ilvl w:val="0"/>
          <w:numId w:val="11"/>
        </w:numPr>
      </w:pPr>
      <w:r>
        <w:t>локальные акты и согласия — если выданы;</w:t>
      </w:r>
    </w:p>
    <w:p>
      <w:pPr>
        <w:pStyle w:val="ListBullet"/>
        <w:numPr>
          <w:ilvl w:val="0"/>
          <w:numId w:val="11"/>
        </w:numPr>
      </w:pPr>
      <w:r>
        <w:t>график работы и документы о разъездном характере труда;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21, 22, 86–90 ТК РФ; статьи 5, 6, 7, 9, 14, 18.1 и 21 Федерального закона № 152-ФЗ; статьи 23 и 24 Конституции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