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сохранить зарядную станцию, электромобиль и данные после пожара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Срочно направляется владельцам автомобиля, зарядной станции, парковки, управляющей организации и сервисным участникам, чтобы не утратить объект исследования, журналы зарядки, телеметрию и видео.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[перечень владельцев и операторов]</w:t>
      </w:r>
    </w:p>
    <w:p>
      <w:pPr>
        <w:spacing w:after="40"/>
        <w:jc w:val="left"/>
      </w:pPr>
      <w:r>
        <w:rPr>
          <w:color w:val="14213D"/>
          <w:sz w:val="20"/>
        </w:rPr>
        <w:t>От потерпевшего: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Происшествие: [дата, место]</w:t>
      </w:r>
    </w:p>
    <w:p>
      <w:pPr>
        <w:pStyle w:val="Heading1"/>
      </w:pPr>
      <w:r>
        <w:t>ТРЕБОВАНИЕ О СОХРАНЕНИИ ДОКАЗАТЕЛЬСТВ ПОЖАРА ПРИ ЗАРЯДКЕ ЭЛЕКТРОМОБИЛЯ</w:t>
      </w:r>
    </w:p>
    <w:p>
      <w:r>
        <w:t>[Дата, время] при зарядке автомобиля [марка, VIN] на станции [номер, адрес] произошли возгорание и повреждение имущества [описание]. Причина официально не установлена.</w:t>
      </w:r>
    </w:p>
    <w:p>
      <w:pPr>
        <w:pStyle w:val="Heading2"/>
      </w:pPr>
      <w:r>
        <w:t>ТРЕБУЮ / ПРОШУ</w:t>
      </w:r>
    </w:p>
    <w:p>
      <w:pPr>
        <w:pStyle w:val="ListNumber"/>
        <w:numPr>
          <w:ilvl w:val="0"/>
          <w:numId w:val="10"/>
        </w:numPr>
      </w:pPr>
      <w:r>
        <w:t>Не утилизировать, не разбирать и не ремонтировать автомобиль, батарею, кабель, коннектор, зарядную станцию и защитную автоматику до согласованного осмотра, кроме необходимых мер безопасности.</w:t>
      </w:r>
    </w:p>
    <w:p>
      <w:pPr>
        <w:pStyle w:val="ListNumber"/>
        <w:numPr>
          <w:ilvl w:val="0"/>
          <w:numId w:val="10"/>
        </w:numPr>
      </w:pPr>
      <w:r>
        <w:t>Сохранить журналы зарядной сессии, телеметрию, ошибки, обновления программного обеспечения, данные оплаты и удалённого управления за период [даты].</w:t>
      </w:r>
    </w:p>
    <w:p>
      <w:pPr>
        <w:pStyle w:val="ListNumber"/>
        <w:numPr>
          <w:ilvl w:val="0"/>
          <w:numId w:val="10"/>
        </w:numPr>
      </w:pPr>
      <w:r>
        <w:t>Сохранить видеозаписи парковки и подъездных путей за интервал [время].</w:t>
      </w:r>
    </w:p>
    <w:p>
      <w:pPr>
        <w:pStyle w:val="ListNumber"/>
        <w:numPr>
          <w:ilvl w:val="0"/>
          <w:numId w:val="10"/>
        </w:numPr>
      </w:pPr>
      <w:r>
        <w:t>Сообщить место хранения объектов, владельцев оборудования, сервисные организации и страховщиков.</w:t>
      </w:r>
    </w:p>
    <w:p>
      <w:pPr>
        <w:pStyle w:val="ListNumber"/>
        <w:numPr>
          <w:ilvl w:val="0"/>
          <w:numId w:val="10"/>
        </w:numPr>
      </w:pPr>
      <w:r>
        <w:t>Допустить представителя и специалиста к совместному осмотру [предлагаемая дата] с составлением акта и отбором данных.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Безопасность важнее сохранения объекта: пожарные и аварийные службы вправе выполнять необходимые действия. Требование запрещает лишь несогласованную утилизацию и изменение после устранения опасности.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 пожара и последствий;</w:t>
      </w:r>
    </w:p>
    <w:p>
      <w:pPr>
        <w:pStyle w:val="ListBullet"/>
        <w:numPr>
          <w:ilvl w:val="0"/>
          <w:numId w:val="11"/>
        </w:numPr>
      </w:pPr>
      <w:r>
        <w:t>документы МЧС и полиции — при наличии;</w:t>
      </w:r>
    </w:p>
    <w:p>
      <w:pPr>
        <w:pStyle w:val="ListBullet"/>
        <w:numPr>
          <w:ilvl w:val="0"/>
          <w:numId w:val="11"/>
        </w:numPr>
      </w:pPr>
      <w:r>
        <w:t>сведения о зарядной сессии и оплате;</w:t>
      </w:r>
    </w:p>
    <w:p>
      <w:pPr>
        <w:pStyle w:val="ListBullet"/>
        <w:numPr>
          <w:ilvl w:val="0"/>
          <w:numId w:val="11"/>
        </w:numPr>
      </w:pPr>
      <w:r>
        <w:t>перечень повреждённого имущества;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всем адресатам.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55–57 и 64–65 ГПК РФ применительно к обеспечению и представлению доказательств; статьи 15, 1064, 1095–1098 ГК РФ; статьи 7 и 14 Закона РФ № 2300-1. Процессуальное обеспечение доказательств оформляется отдельно.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