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соседу освободить занятую часть участка и восстановить границу</w:t>
      </w:r>
    </w:p>
    <w:p>
      <w:pPr>
        <w:pStyle w:val="SmallNote"/>
      </w:pPr>
      <w:r>
        <w:t>Категория: Претензии  •  Статья сайта: №259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Если забор, строение или иное пользование заходит на ваш участок. До требования получите актуальные выписки ЕГРН и заключение кадастрового инженера; при реестровой ошибке нужна другая ветка.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Собственнику соседнего участка: [ФИО,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Участки: [кадастровые номера]</w:t>
      </w:r>
    </w:p>
    <w:p>
      <w:pPr>
        <w:pStyle w:val="Heading1"/>
      </w:pPr>
      <w:r>
        <w:t>ТРЕБОВАНИЕ ОБ УСТРАНЕНИИ НАРУШЕНИЯ ГРАНИЦ ЗЕМЕЛЬНОГО УЧАСТКА</w:t>
      </w:r>
    </w:p>
    <w:p>
      <w:pPr>
        <w:pStyle w:val="Heading2"/>
      </w:pPr>
      <w:r>
        <w:t>ОБСТОЯТЕЛЬСТВА</w:t>
      </w:r>
    </w:p>
    <w:p>
      <w:r>
        <w:t>Мне принадлежит участок [кадастровый номер]. По результатам [вынос точек / заключение] от [дата] ограждение / объект соседа занимает ориентировочно [площадь] кв. м моего участка.</w:t>
      </w:r>
    </w:p>
    <w:p>
      <w:r>
        <w:t>Схема и координаты прилагаются. Доступ к совместному осмотру предлагался [дата].</w:t>
      </w:r>
    </w:p>
    <w:p>
      <w:pPr>
        <w:pStyle w:val="Heading2"/>
      </w:pPr>
      <w:r>
        <w:t>ПРАВОВЫЕ ОСНОВАНИЯ</w:t>
      </w:r>
    </w:p>
    <w:p>
      <w:r>
        <w:t>Собственник вправе требовать устранения нарушений, даже не связанных с лишением владения. Граница должна подтверждаться допустимыми землеустроительными и реестровыми доказательствами.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В течение [срок] согласовать совместный осмотр с кадастровым инженером.</w:t>
      </w:r>
    </w:p>
    <w:p>
      <w:pPr>
        <w:pStyle w:val="ListNumber"/>
        <w:numPr>
          <w:ilvl w:val="0"/>
          <w:numId w:val="10"/>
        </w:numPr>
      </w:pPr>
      <w:r>
        <w:t>Демонтировать / перенести [объект] за пределы моего участка и восстановить межевые знаки.</w:t>
      </w:r>
    </w:p>
    <w:p>
      <w:pPr>
        <w:pStyle w:val="ListNumber"/>
        <w:numPr>
          <w:ilvl w:val="0"/>
          <w:numId w:val="10"/>
        </w:numPr>
      </w:pPr>
      <w:r>
        <w:t>Воздерживаться от строительства и изменения рельефа в спорной полосе до урегулирования.</w:t>
      </w:r>
    </w:p>
    <w:p>
      <w:pPr>
        <w:pStyle w:val="ListNumber"/>
        <w:numPr>
          <w:ilvl w:val="0"/>
          <w:numId w:val="10"/>
        </w:numPr>
      </w:pPr>
      <w:r>
        <w:t>Письменно сообщить позицию и документы о границе; при несогласии предложить порядок урегулирования.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переносите забор самостоятельно: можно повредить чужое имущество и уничтожить доказательства. Если координаты спорны, сначала решайте вопрос о местоположении границы.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выписки ЕГРН;</w:t>
      </w:r>
    </w:p>
    <w:p>
      <w:pPr>
        <w:pStyle w:val="ListBullet"/>
        <w:numPr>
          <w:ilvl w:val="0"/>
          <w:numId w:val="11"/>
        </w:numPr>
      </w:pPr>
      <w:r>
        <w:t>межевой план / заключение кадастрового инженера;</w:t>
      </w:r>
    </w:p>
    <w:p>
      <w:pPr>
        <w:pStyle w:val="ListBullet"/>
        <w:numPr>
          <w:ilvl w:val="0"/>
          <w:numId w:val="11"/>
        </w:numPr>
      </w:pPr>
      <w:r>
        <w:t>схема наложения;</w:t>
      </w:r>
    </w:p>
    <w:p>
      <w:pPr>
        <w:pStyle w:val="ListBullet"/>
        <w:numPr>
          <w:ilvl w:val="0"/>
          <w:numId w:val="11"/>
        </w:numPr>
      </w:pPr>
      <w:r>
        <w:t>фото;</w:t>
      </w:r>
    </w:p>
    <w:p>
      <w:pPr>
        <w:pStyle w:val="ListBullet"/>
        <w:numPr>
          <w:ilvl w:val="0"/>
          <w:numId w:val="11"/>
        </w:numPr>
      </w:pPr>
      <w:r>
        <w:t>переписка;</w:t>
      </w:r>
    </w:p>
    <w:p>
      <w:pPr>
        <w:pStyle w:val="ListBullet"/>
        <w:numPr>
          <w:ilvl w:val="0"/>
          <w:numId w:val="11"/>
        </w:numPr>
      </w:pPr>
      <w:r>
        <w:t>доказательство вручения.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209, 304–305 ГК РФ; статьи 11.9, 60, 64 ЗК РФ; Федеральный закон № 218-ФЗ.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№259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