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DocumentTitle"/>
      </w:pPr>
      <w:r>
        <w:t>Требование страховщику организовать и завершить ремонт автомобиля по ОСАГО</w:t>
      </w:r>
    </w:p>
    <w:p>
      <w:pPr>
        <w:spacing w:after="40"/>
      </w:pPr>
      <w:r>
        <w:rPr>
          <w:b/>
          <w:color w:val="676767"/>
        </w:rPr>
        <w:t>Категория: Претензии  •  Статья сайта: №289–290</w:t>
      </w:r>
    </w:p>
    <w:p>
      <w:pPr>
        <w:spacing w:after="160"/>
      </w:pPr>
      <w:r>
        <w:rPr>
          <w:b/>
          <w:color w:val="676767"/>
          <w:sz w:val="19"/>
        </w:rPr>
        <w:t>Структура: ПРЕТЕНЗИЯ: адресат и заявитель • обстоятельства • правовые основания • требования • срок • приложения  •  Статус: НОВЫЙ</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vAlign w:val="center"/>
            <w:shd w:fill="F5F0E4"/>
            <w:tcBorders>
              <w:top w:val="single" w:sz="8" w:space="0" w:color="8F2B24"/>
              <w:left w:val="single" w:sz="8" w:space="0" w:color="8F2B24"/>
              <w:bottom w:val="single" w:sz="8" w:space="0" w:color="8F2B24"/>
              <w:right w:val="single" w:sz="8" w:space="0" w:color="8F2B24"/>
              <w:insideH w:val="single" w:sz="8" w:space="0" w:color="8F2B24"/>
              <w:insideV w:val="single" w:sz="8" w:space="0" w:color="8F2B24"/>
            </w:tcBorders>
            <w:tcMar>
              <w:top w:w="80" w:type="dxa"/>
              <w:start w:w="120" w:type="dxa"/>
              <w:bottom w:w="80" w:type="dxa"/>
              <w:end w:w="120" w:type="dxa"/>
            </w:tcMar>
          </w:tcPr>
          <w:p>
            <w:pPr>
              <w:spacing w:after="0" w:line="276" w:lineRule="auto"/>
            </w:pPr>
            <w:r>
              <w:rPr>
                <w:b/>
                <w:color w:val="6E211D"/>
              </w:rPr>
              <w:t xml:space="preserve">Когда использовать. </w:t>
            </w:r>
            <w:r>
              <w:rPr>
                <w:color w:val="14213D"/>
              </w:rPr>
              <w:t>Общий досудебный документ к статьям №289 и №290. Подходит, когда СТО не принимает автомобиль либо тридцатидневный рабочий срок ремонта нарушен. Перед отправкой оставьте только относящуюся к вашему случаю ветку.</w:t>
            </w:r>
          </w:p>
        </w:tc>
      </w:tr>
    </w:tbl>
    <w:p>
      <w:pPr>
        <w:pStyle w:val="Heading2"/>
      </w:pPr>
      <w:r>
        <w:t>Куда и от кого</w:t>
      </w:r>
    </w:p>
    <w:p>
      <w:pPr>
        <w:spacing w:after="40"/>
        <w:jc w:val="right"/>
      </w:pPr>
      <w:r>
        <w:rPr>
          <w:color w:val="14213D"/>
          <w:sz w:val="20"/>
        </w:rPr>
        <w:t>Кому: [страховщик, адрес]</w:t>
      </w:r>
    </w:p>
    <w:p>
      <w:pPr>
        <w:spacing w:after="40"/>
        <w:jc w:val="left"/>
      </w:pPr>
      <w:r>
        <w:rPr>
          <w:color w:val="14213D"/>
          <w:sz w:val="20"/>
        </w:rPr>
        <w:t>От потерпевшего: [ФИО, адрес, телефон, e-mail]</w:t>
      </w:r>
    </w:p>
    <w:p>
      <w:pPr>
        <w:spacing w:after="40"/>
        <w:jc w:val="left"/>
      </w:pPr>
      <w:r>
        <w:rPr>
          <w:color w:val="14213D"/>
          <w:sz w:val="20"/>
        </w:rPr>
        <w:t>Убыток № [номер] • ДТП [дата]</w:t>
      </w:r>
    </w:p>
    <w:p>
      <w:pPr>
        <w:spacing w:after="40"/>
        <w:jc w:val="left"/>
      </w:pPr>
      <w:r>
        <w:rPr>
          <w:color w:val="14213D"/>
          <w:sz w:val="20"/>
        </w:rPr>
        <w:t>Автомобиль: [марка, VIN, госномер]</w:t>
      </w:r>
    </w:p>
    <w:p>
      <w:pPr>
        <w:spacing w:after="40"/>
        <w:jc w:val="left"/>
      </w:pPr>
      <w:r>
        <w:rPr>
          <w:color w:val="14213D"/>
          <w:sz w:val="20"/>
        </w:rPr>
        <w:t>Направление на ремонт: [дата, номер, СТО]</w:t>
      </w:r>
    </w:p>
    <w:p>
      <w:pPr>
        <w:pStyle w:val="Heading1"/>
      </w:pPr>
      <w:r>
        <w:t>ТРЕБОВАНИЕ ОБ ИСПОЛНЕНИИ ОБЯЗАТЕЛЬСТВА ПО ВОССТАНОВИТЕЛЬНОМУ РЕМОНТУ ОСАГО</w:t>
      </w:r>
    </w:p>
    <w:p>
      <w:pPr>
        <w:pStyle w:val="Heading2"/>
      </w:pPr>
      <w:r>
        <w:t>ОБСТОЯТЕЛЬСТВА</w:t>
      </w:r>
    </w:p>
    <w:p>
      <w:r>
        <w:t>Страховщик признал событие страховым и [дата] выдал направление на СТО [название]. [СТО письменно / фактически отказалась принять автомобиль по причине ...] либо автомобиль передан на ремонт [дата], но на дату требования не возвращён. Больший срок со страховщиком письменно не согласовывался.</w:t>
      </w:r>
    </w:p>
    <w:p>
      <w:r>
        <w:t>Течение срока и нарушение подтверждаются [направление, акт передачи, заказ-наряд, переписка, запись обращения]. Ответственность перед потерпевшим за надлежащую организацию ремонта несёт страховщик, даже если работу выполняет привлечённая им СТО.</w:t>
      </w:r>
    </w:p>
    <w:p>
      <w:pPr>
        <w:pStyle w:val="Heading2"/>
      </w:pPr>
      <w:r>
        <w:t>ПРАВОВЫЕ ОСНОВАНИЯ</w:t>
      </w:r>
    </w:p>
    <w:p>
      <w:r>
        <w:t>Восстановительный ремонт легкового автомобиля не должен превышать 30 рабочих дней со дня представления автомобиля на СТО либо передачи страховщику для транспортировки, если иной срок письменно не согласован. За нарушение срока ремонта предусмотрена неустойка 0,5 процента за каждый день от суммы страхового возмещения, но не более этой суммы.</w:t>
      </w:r>
    </w:p>
    <w:p>
      <w:pPr>
        <w:pStyle w:val="Heading2"/>
      </w:pPr>
      <w:r>
        <w:t>ТРЕБУЮ</w:t>
      </w:r>
    </w:p>
    <w:p>
      <w:pPr>
        <w:pStyle w:val="ListNumber"/>
        <w:numPr>
          <w:ilvl w:val="0"/>
          <w:numId w:val="10"/>
        </w:numPr>
      </w:pPr>
      <w:r>
        <w:t>Вариант для отказа СТО: в течение [срок] обеспечить письменный приём автомобиля этой СТО либо выдать согласованное и реально исполнимое направление на другую СТО.</w:t>
      </w:r>
    </w:p>
    <w:p>
      <w:pPr>
        <w:pStyle w:val="ListNumber"/>
        <w:numPr>
          <w:ilvl w:val="0"/>
          <w:numId w:val="10"/>
        </w:numPr>
      </w:pPr>
      <w:r>
        <w:t>Вариант для просрочки: завершить ремонт и передать исправный автомобиль по акту не позднее [дата].</w:t>
      </w:r>
    </w:p>
    <w:p>
      <w:pPr>
        <w:pStyle w:val="ListNumber"/>
        <w:numPr>
          <w:ilvl w:val="0"/>
          <w:numId w:val="10"/>
        </w:numPr>
      </w:pPr>
      <w:r>
        <w:t>Предоставить направление, сведения о согласовании работ, переписку со СТО, заказ-наряд, расчёт стоимости ремонта и письменное объяснение задержки или отказа.</w:t>
      </w:r>
    </w:p>
    <w:p>
      <w:pPr>
        <w:pStyle w:val="ListNumber"/>
        <w:numPr>
          <w:ilvl w:val="0"/>
          <w:numId w:val="10"/>
        </w:numPr>
      </w:pPr>
      <w:r>
        <w:t>Уплатить неустойку за период [даты] в сумме [сумма] руб. по отдельному расчёту — если срок ремонта уже нарушен.</w:t>
      </w:r>
    </w:p>
    <w:p>
      <w:pPr>
        <w:pStyle w:val="ListNumber"/>
        <w:numPr>
          <w:ilvl w:val="0"/>
          <w:numId w:val="10"/>
        </w:numPr>
      </w:pPr>
      <w:r>
        <w:t>Если натуральное возмещение объективно невозможно по предусмотренным законом основаниям, принять решение о надлежащей форме возмещения и направить мотивированный ответ.</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vAlign w:val="center"/>
            <w:shd w:fill="F2F4F7"/>
            <w:tcBorders>
              <w:top w:val="single" w:sz="8" w:space="0" w:color="B88A3B"/>
              <w:left w:val="single" w:sz="8" w:space="0" w:color="B88A3B"/>
              <w:bottom w:val="single" w:sz="8" w:space="0" w:color="B88A3B"/>
              <w:right w:val="single" w:sz="8" w:space="0" w:color="B88A3B"/>
              <w:insideH w:val="single" w:sz="8" w:space="0" w:color="B88A3B"/>
              <w:insideV w:val="single" w:sz="8" w:space="0" w:color="B88A3B"/>
            </w:tcBorders>
            <w:tcMar>
              <w:top w:w="80" w:type="dxa"/>
              <w:start w:w="120" w:type="dxa"/>
              <w:bottom w:w="80" w:type="dxa"/>
              <w:end w:w="120" w:type="dxa"/>
            </w:tcMar>
          </w:tcPr>
          <w:p>
            <w:pPr>
              <w:spacing w:after="0" w:line="276" w:lineRule="auto"/>
            </w:pPr>
            <w:r>
              <w:rPr>
                <w:color w:val="14213D"/>
              </w:rPr>
              <w:t>Не подписывайте без проверки соглашение о доплате, замене ремонта денежной выплатой или увеличении срока. До обращения к финансовому уполномоченному сначала должно быть письменное заявление страховщику.</w:t>
            </w:r>
          </w:p>
        </w:tc>
      </w:tr>
    </w:tbl>
    <w:p>
      <w:pPr>
        <w:pStyle w:val="Heading2"/>
      </w:pPr>
      <w:r>
        <w:t>Приложения</w:t>
      </w:r>
    </w:p>
    <w:p>
      <w:pPr>
        <w:pStyle w:val="ListBullet"/>
        <w:numPr>
          <w:ilvl w:val="0"/>
          <w:numId w:val="11"/>
        </w:numPr>
      </w:pPr>
      <w:r>
        <w:t>заявление о страховом возмещении;</w:t>
      </w:r>
    </w:p>
    <w:p>
      <w:pPr>
        <w:pStyle w:val="ListBullet"/>
        <w:numPr>
          <w:ilvl w:val="0"/>
          <w:numId w:val="11"/>
        </w:numPr>
      </w:pPr>
      <w:r>
        <w:t>направление на ремонт;</w:t>
      </w:r>
    </w:p>
    <w:p>
      <w:pPr>
        <w:pStyle w:val="ListBullet"/>
        <w:numPr>
          <w:ilvl w:val="0"/>
          <w:numId w:val="11"/>
        </w:numPr>
      </w:pPr>
      <w:r>
        <w:t>отказ СТО / переписка и записи обращений;</w:t>
      </w:r>
    </w:p>
    <w:p>
      <w:pPr>
        <w:pStyle w:val="ListBullet"/>
        <w:numPr>
          <w:ilvl w:val="0"/>
          <w:numId w:val="11"/>
        </w:numPr>
      </w:pPr>
      <w:r>
        <w:t>акт передачи, заказ-наряд и документы о сроке — при наличии;</w:t>
      </w:r>
    </w:p>
    <w:p>
      <w:pPr>
        <w:pStyle w:val="ListBullet"/>
        <w:numPr>
          <w:ilvl w:val="0"/>
          <w:numId w:val="11"/>
        </w:numPr>
      </w:pPr>
      <w:r>
        <w:t>фото автомобиля;</w:t>
      </w:r>
    </w:p>
    <w:p>
      <w:pPr>
        <w:pStyle w:val="ListBullet"/>
        <w:numPr>
          <w:ilvl w:val="0"/>
          <w:numId w:val="11"/>
        </w:numPr>
      </w:pPr>
      <w:r>
        <w:t>расчёт неустойки;</w:t>
      </w:r>
    </w:p>
    <w:p>
      <w:pPr>
        <w:pStyle w:val="ListBullet"/>
        <w:numPr>
          <w:ilvl w:val="0"/>
          <w:numId w:val="11"/>
        </w:numPr>
      </w:pPr>
      <w:r>
        <w:t>банковские реквизиты;</w:t>
      </w:r>
    </w:p>
    <w:p>
      <w:pPr>
        <w:pStyle w:val="ListBullet"/>
        <w:numPr>
          <w:ilvl w:val="0"/>
          <w:numId w:val="11"/>
        </w:numPr>
      </w:pPr>
      <w:r>
        <w:t>доказательство направления требования.</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vAlign w:val="center"/>
            <w:shd w:fill="F2F4F7"/>
            <w:tcBorders>
              <w:top w:val="single" w:sz="8" w:space="0" w:color="B88A3B"/>
              <w:left w:val="single" w:sz="8" w:space="0" w:color="B88A3B"/>
              <w:bottom w:val="single" w:sz="8" w:space="0" w:color="B88A3B"/>
              <w:right w:val="single" w:sz="8" w:space="0" w:color="B88A3B"/>
              <w:insideH w:val="single" w:sz="8" w:space="0" w:color="B88A3B"/>
              <w:insideV w:val="single" w:sz="8" w:space="0" w:color="B88A3B"/>
            </w:tcBorders>
            <w:tcMar>
              <w:top w:w="80" w:type="dxa"/>
              <w:start w:w="120" w:type="dxa"/>
              <w:bottom w:w="80" w:type="dxa"/>
              <w:end w:w="120" w:type="dxa"/>
            </w:tcMar>
          </w:tcPr>
          <w:p>
            <w:pPr>
              <w:spacing w:after="0" w:line="276" w:lineRule="auto"/>
            </w:pPr>
            <w:r>
              <w:rPr>
                <w:b/>
                <w:color w:val="6E211D"/>
              </w:rPr>
              <w:t xml:space="preserve">Правовая основа. </w:t>
            </w:r>
            <w:r>
              <w:rPr>
                <w:color w:val="14213D"/>
              </w:rPr>
              <w:t>пункты 15.1–15.3, 16.1 и 21 статьи 12 Федерального закона № 40-ФЗ; Положение Банка России от 19.09.2014 № 431-П; Федеральный закон № 123-ФЗ.</w:t>
            </w:r>
          </w:p>
        </w:tc>
      </w:tr>
    </w:tbl>
    <w:p>
      <w:pPr>
        <w:spacing w:before="200"/>
      </w:pPr>
      <w:r>
        <w:t>Дата: «___» __________ 20__ г.        Подпись: ____________ / [ФИО] /</w:t>
      </w:r>
    </w:p>
    <w:p>
      <w:pPr>
        <w:pStyle w:val="SmallNote"/>
      </w:pPr>
      <w:r>
        <w:t>Образец проверен 29 августа 2026 года. Перед подачей удалите подсказки, заполните факты, адресатов, требования и приложения. При изменении закона, стадии дела или процессуального статуса документ нужно актуализировать.</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76767"/>
        <w:sz w:val="18"/>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6" w:space="2" w:color="B88A3B"/>
      </w:pBdr>
    </w:pPr>
    <w:r>
      <w:rPr>
        <w:rFonts w:ascii="Calibri" w:hAnsi="Calibri"/>
        <w:color w:val="676767"/>
        <w:sz w:val="17"/>
      </w:rPr>
      <w:t>Юристы в джинсах • образец к статье №289–290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tab"/>
      <w:pPr>
        <w:tabs>
          <w:tab w:val="num" w:pos="540"/>
        </w:tabs>
        <w:ind w:left="540" w:hanging="270"/>
        <w:spacing w:after="80" w:line="300" w:lineRule="auto"/>
      </w:pPr>
      <w:rPr>
        <w:color w:val="8F2B24"/>
      </w:rPr>
    </w:lvl>
  </w:abstractNum>
  <w:num w:numId="10">
    <w:abstractNumId w:val="9"/>
  </w:num>
  <w:abstractNum w:abstractNumId="10">
    <w:multiLevelType w:val="singleLevel"/>
    <w:lvl w:ilvl="0">
      <w:start w:val="1"/>
      <w:numFmt w:val="bullet"/>
      <w:lvlText w:val="•"/>
      <w:suff w:val="tab"/>
      <w:pPr>
        <w:tabs>
          <w:tab w:val="num" w:pos="540"/>
        </w:tabs>
        <w:ind w:left="540" w:hanging="270"/>
        <w:spacing w:after="80" w:line="300" w:lineRule="auto"/>
      </w:pPr>
      <w:rPr>
        <w:color w:val="8F2B24"/>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4213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8F2B24"/>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8F2B24"/>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6E211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80" w:line="300" w:lineRule="auto"/>
      <w:contextualSpacing/>
    </w:pPr>
    <w:rPr>
      <w:rFonts w:ascii="Calibri" w:hAnsi="Calibri"/>
      <w:color w:val="14213D"/>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80" w:line="300" w:lineRule="auto"/>
      <w:contextualSpacing/>
    </w:pPr>
    <w:rPr>
      <w:rFonts w:ascii="Calibri" w:hAnsi="Calibri"/>
      <w:color w:val="14213D"/>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Title">
    <w:name w:val="Document Title"/>
    <w:pPr>
      <w:keepNext/>
      <w:spacing w:before="0" w:after="160"/>
    </w:pPr>
    <w:rPr>
      <w:rFonts w:ascii="Calibri" w:hAnsi="Calibri"/>
      <w:b/>
      <w:color w:val="8F2B24"/>
      <w:sz w:val="44"/>
    </w:rPr>
  </w:style>
  <w:style w:type="paragraph" w:customStyle="1" w:styleId="SmallNote">
    <w:name w:val="Small Note"/>
    <w:pPr>
      <w:spacing w:after="80" w:line="276" w:lineRule="auto"/>
    </w:pPr>
    <w:rPr>
      <w:rFonts w:ascii="Calibri" w:hAnsi="Calibri"/>
      <w:color w:val="676767"/>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