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владельцу линии электропередачи или газопровода предоставить документы и рассмотреть перенос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№316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ответа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установленному владельцу сети до суда. Цель — получить документы о дате и основании размещения, охранной зоне, сервитуте и вариантах переноса. Сам факт нахождения сети на участке ещё не означает обязанность владельца перенести её бесплатно.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[сетевая / газораспределительная организация, адрес]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 участка: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Участок: [адрес, кадастровый номер]</w:t>
      </w:r>
    </w:p>
    <w:p>
      <w:pPr>
        <w:pStyle w:val="Heading1"/>
      </w:pPr>
      <w:r>
        <w:t>ТРЕБОВАНИЕ О ПРЕДОСТАВЛЕНИИ ДОКУМЕНТОВ, ОБСЛЕДОВАНИИ И РАССМОТРЕНИИ ПЕРЕНОСА ЛИНЕЙНОГО ОБЪЕКТА</w:t>
      </w:r>
    </w:p>
    <w:p>
      <w:pPr>
        <w:pStyle w:val="Heading2"/>
      </w:pPr>
      <w:r>
        <w:t>ОБСТОЯТЕЛЬСТВА</w:t>
      </w:r>
    </w:p>
    <w:p>
      <w:r>
        <w:t>На земельном участке [кадастровый номер] расположен [опора / кабель / газопровод] с маркировкой [данные]. Объект ограничивает использование участка: [невозможно разместить дом, нарушены отступы, закрыт доступ — конкретно].</w:t>
      </w:r>
    </w:p>
    <w:p>
      <w:r>
        <w:t>Право на участок зарегистрировано [дата]. По имеющимся документам объект появился [известная дата / дата неизвестна]. В ЕГРН указаны / не указаны [охранная зона, сервитут, публичный сервитут].</w:t>
      </w:r>
    </w:p>
    <w:p>
      <w:pPr>
        <w:pStyle w:val="Heading2"/>
      </w:pPr>
      <w:r>
        <w:t>ПРАВОВЫЕ ОСНОВАНИЯ</w:t>
      </w:r>
    </w:p>
    <w:p>
      <w:r>
        <w:t>Законность размещения и распределение расходов зависят от времени возникновения участка и сети, права пользования землёй, назначения объекта, охранной зоны и наличия частного либо публичного сервитута. Охранная зона и сервитут — разные правовые режимы.</w:t>
      </w:r>
    </w:p>
    <w:p>
      <w:pPr>
        <w:pStyle w:val="Heading2"/>
      </w:pPr>
      <w:r>
        <w:t>ТРЕБУЮ / ПРЕДЛАГАЮ</w:t>
      </w:r>
    </w:p>
    <w:p>
      <w:pPr>
        <w:pStyle w:val="ListNumber"/>
        <w:numPr>
          <w:ilvl w:val="0"/>
          <w:numId w:val="10"/>
        </w:numPr>
      </w:pPr>
      <w:r>
        <w:t>Сообщить владельца, балансодержателя, назначение, дату ввода и технические характеристики объекта.</w:t>
      </w:r>
    </w:p>
    <w:p>
      <w:pPr>
        <w:pStyle w:val="ListNumber"/>
        <w:numPr>
          <w:ilvl w:val="0"/>
          <w:numId w:val="10"/>
        </w:numPr>
      </w:pPr>
      <w:r>
        <w:t>Предоставить копии документов о размещении и пользовании участком: проект, акт ввода, разрешения, соглашение о сервитуте либо решение о публичном сервитуте, схему и сведения об охранной зоне.</w:t>
      </w:r>
    </w:p>
    <w:p>
      <w:pPr>
        <w:pStyle w:val="ListNumber"/>
        <w:numPr>
          <w:ilvl w:val="0"/>
          <w:numId w:val="10"/>
        </w:numPr>
      </w:pPr>
      <w:r>
        <w:t>Провести совместное обследование и выдать акт с координатами объекта и ограничений.</w:t>
      </w:r>
    </w:p>
    <w:p>
      <w:pPr>
        <w:pStyle w:val="ListNumber"/>
        <w:numPr>
          <w:ilvl w:val="0"/>
          <w:numId w:val="10"/>
        </w:numPr>
      </w:pPr>
      <w:r>
        <w:t>Рассмотреть технические варианты переноса / переустройства, указать условия, сроки, исполнителя и мотивированное распределение расходов.</w:t>
      </w:r>
    </w:p>
    <w:p>
      <w:pPr>
        <w:pStyle w:val="ListNumber"/>
        <w:numPr>
          <w:ilvl w:val="0"/>
          <w:numId w:val="10"/>
        </w:numPr>
      </w:pPr>
      <w:r>
        <w:t>При отсутствии правового основания предложить срок добровольного освобождения участка и восстановления нарушенного состояния.</w:t>
      </w:r>
    </w:p>
    <w:p>
      <w:r>
        <w:t>Прошу ответить в установленный законом срок по адресу / e-mail [данные].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выполняйте земляные работы и не перемещайте объект самостоятельно. Для аварийной ситуации используется аварийная служба, а не эта претензия.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схема и фотографии объекта;</w:t>
      </w:r>
    </w:p>
    <w:p>
      <w:pPr>
        <w:pStyle w:val="ListBullet"/>
        <w:numPr>
          <w:ilvl w:val="0"/>
          <w:numId w:val="11"/>
        </w:numPr>
      </w:pPr>
      <w:r>
        <w:t>заключение кадастрового инженера / проект застройки;</w:t>
      </w:r>
    </w:p>
    <w:p>
      <w:pPr>
        <w:pStyle w:val="ListBullet"/>
        <w:numPr>
          <w:ilvl w:val="0"/>
          <w:numId w:val="11"/>
        </w:numPr>
      </w:pPr>
      <w:r>
        <w:t>сведения о дате возникновения права;</w:t>
      </w:r>
    </w:p>
    <w:p>
      <w:pPr>
        <w:pStyle w:val="ListBullet"/>
        <w:numPr>
          <w:ilvl w:val="0"/>
          <w:numId w:val="11"/>
        </w:numPr>
      </w:pPr>
      <w:r>
        <w:t>предыдущие ответы органов и организаций;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209, 304 и 274–276 ГК РФ; статьи 23 и 39.37–39.50 ЗК РФ; Федеральный закон от 13.07.2015 № 218-ФЗ; специальные правила охранных зон для соответствующего вида сети.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