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восстановить доступ в подъезд и выдать (активировать) рабочий домофонный ключ</w:t>
      </w:r>
    </w:p>
    <w:p>
      <w:pPr>
        <w:jc w:val="center"/>
      </w:pPr>
      <w:r>
        <w:rPr>
          <w:b/>
          <w:sz w:val="20"/>
        </w:rPr>
        <w:t>Категория: Претензии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УК / ТСЖ / владельцу домофонной системы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 собственника/пользователя: 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Наименование: 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Квартира №____, адрес: 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______________________________</w:t>
            </w:r>
          </w:p>
        </w:tc>
      </w:tr>
    </w:tbl>
    <w:p>
      <w:r>
        <w:rPr>
          <w:i w:val="0"/>
        </w:rPr>
        <w:t>Я являюсь собственником / законным пользователем квартиры №___ в многоквартирном доме по адресу __________________. «___» ______ 20___ г. электронный ключ / иной способ доступа перестал открывать входную дверь подъезда. При обращении мне сообщили, что доступ ограничен в связи с задолженностью / по иной причине: __________________.</w:t>
      </w:r>
    </w:p>
    <w:p>
      <w:pPr>
        <w:pStyle w:val="Heading1"/>
      </w:pPr>
      <w:r>
        <w:t>Требую</w:t>
      </w:r>
    </w:p>
    <w:p>
      <w:pPr>
        <w:ind w:left="312" w:hanging="238"/>
      </w:pPr>
      <w:r>
        <w:rPr>
          <w:b/>
        </w:rPr>
        <w:t xml:space="preserve">1. </w:t>
      </w:r>
      <w:r>
        <w:t>Незамедлительно восстановить мне работоспособный способ доступа в подъезд: активировать имеющийся ключ либо выдать рабочий ключ/иной предусмотренный системой способ доступа.</w:t>
      </w:r>
    </w:p>
    <w:p>
      <w:pPr>
        <w:ind w:left="312" w:hanging="238"/>
      </w:pPr>
      <w:r>
        <w:rPr>
          <w:b/>
        </w:rPr>
        <w:t xml:space="preserve">2. </w:t>
      </w:r>
      <w:r>
        <w:t>Сообщить, кто является собственником домофонной системы и кто технически принимает решения о блокировке ключей.</w:t>
      </w:r>
    </w:p>
    <w:p>
      <w:pPr>
        <w:ind w:left="312" w:hanging="238"/>
      </w:pPr>
      <w:r>
        <w:rPr>
          <w:b/>
        </w:rPr>
        <w:t xml:space="preserve">3. </w:t>
      </w:r>
      <w:r>
        <w:t>Предоставить документальное основание блокировки и начисления спорной платы: решение общего собрания, договор управления, отдельный договор либо иной документ.</w:t>
      </w:r>
    </w:p>
    <w:p>
      <w:pPr>
        <w:ind w:left="312" w:hanging="238"/>
      </w:pPr>
      <w:r>
        <w:rPr>
          <w:b/>
        </w:rPr>
        <w:t xml:space="preserve">4. </w:t>
      </w:r>
      <w:r>
        <w:t>Отдельно указать стоимость и правовую основу дополнительных услуг (трубка, видеосвязь, дополнительные брелоки), не смешивая их с базовым доступом к подъезду.</w:t>
      </w:r>
    </w:p>
    <w:p>
      <w:pPr>
        <w:ind w:left="312" w:hanging="238"/>
      </w:pPr>
      <w:r>
        <w:rPr>
          <w:b/>
        </w:rPr>
        <w:t xml:space="preserve">5. </w:t>
      </w:r>
      <w:r>
        <w:t>Сообщить о выполнении требования письменно по адресу/e-mail __________________.</w:t>
      </w:r>
    </w:p>
    <w:p>
      <w:r>
        <w:rPr>
          <w:i w:val="0"/>
        </w:rPr>
        <w:t>Наличие задолженности, если она действительно существует, может разрешаться предусмотренными законом способами взыскания, но не должно произвольно лишать собственника фактической возможности пользоваться своим жилым помещением и общим имуществом.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Требование не означает отказ от оплаты законно начисленной услуги. Если у собственника уже есть рабочий ключ и доступ фактически не ограничен, вопрос о бесплатном дополнительном ключе или видеосервисе оценивается отдельно.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