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вернуть деньги, снятые со счёта наследодателя после смерти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№464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установленному получателю перед иском. Учитывает только сумму без подтверждённого основания и отдельно предлагает предъявить чеки необходимых расходов.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[ФИО получателя, адрес]</w:t>
      </w:r>
    </w:p>
    <w:p>
      <w:pPr>
        <w:spacing w:after="40"/>
        <w:jc w:val="left"/>
      </w:pPr>
      <w:r>
        <w:rPr>
          <w:color w:val="14213D"/>
          <w:sz w:val="20"/>
        </w:rPr>
        <w:t>От наследника / наследников: [ФИО, адрес]</w:t>
      </w:r>
    </w:p>
    <w:p>
      <w:pPr>
        <w:spacing w:after="40"/>
        <w:jc w:val="left"/>
      </w:pPr>
      <w:r>
        <w:rPr>
          <w:color w:val="14213D"/>
          <w:sz w:val="20"/>
        </w:rPr>
        <w:t>Наследодатель: [ФИО], дело № [номер]</w:t>
      </w:r>
    </w:p>
    <w:p>
      <w:pPr>
        <w:pStyle w:val="Heading1"/>
      </w:pPr>
      <w:r>
        <w:t>ТРЕБОВАНИЕ О ВОЗВРАТЕ ДЕНЕЖНЫХ СРЕДСТВ</w:t>
      </w:r>
    </w:p>
    <w:p>
      <w:r>
        <w:t>После смерти [ФИО] с его счёта в [банк] были получены / переведены вам денежные средства: [операции] на общую сумму [сумма] руб. Эти деньги входили в состав наследства в соответствующей части.</w:t>
      </w:r>
    </w:p>
    <w:p>
      <w:r>
        <w:t>Документы о распоряжении наследодателя, действующем после смерти, или ином основании удержания суммы не представлены. Если деньги израсходованы на похороны или охрану наследства, прошу подтвердить каждую сумму чеками и расчётом.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Вернуть [всю сумму наследникам совместно / мою наследственную долю] в размере [сумма] руб. до [дата].</w:t>
      </w:r>
    </w:p>
    <w:p>
      <w:pPr>
        <w:pStyle w:val="ListNumber"/>
        <w:numPr>
          <w:ilvl w:val="0"/>
          <w:numId w:val="10"/>
        </w:numPr>
      </w:pPr>
      <w:r>
        <w:t>Либо в тот же срок предоставить документы о законном основании каждой операции и расходовании денег в интересах наследства.</w:t>
      </w:r>
    </w:p>
    <w:p>
      <w:pPr>
        <w:pStyle w:val="ListNumber"/>
        <w:numPr>
          <w:ilvl w:val="0"/>
          <w:numId w:val="10"/>
        </w:numPr>
      </w:pPr>
      <w:r>
        <w:t>Согласовать учёт подтверждённых расходов и остатка при разделе наследства.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Размер требования зависит от состава наследства, супружеской доли и числа принявших наследство лиц.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свидетельства о наследстве или документы о принятии;</w:t>
      </w:r>
    </w:p>
    <w:p>
      <w:pPr>
        <w:pStyle w:val="ListBullet"/>
        <w:numPr>
          <w:ilvl w:val="0"/>
          <w:numId w:val="11"/>
        </w:numPr>
      </w:pPr>
      <w:r>
        <w:t>банковские сведения;</w:t>
      </w:r>
    </w:p>
    <w:p>
      <w:pPr>
        <w:pStyle w:val="ListBullet"/>
        <w:numPr>
          <w:ilvl w:val="0"/>
          <w:numId w:val="11"/>
        </w:numPr>
      </w:pPr>
      <w:r>
        <w:t>расчёт наследственных долей;</w:t>
      </w:r>
    </w:p>
    <w:p>
      <w:pPr>
        <w:pStyle w:val="ListBullet"/>
        <w:numPr>
          <w:ilvl w:val="0"/>
          <w:numId w:val="11"/>
        </w:numPr>
      </w:pPr>
      <w:r>
        <w:t>предыдущая переписка;</w:t>
      </w:r>
    </w:p>
    <w:p>
      <w:pPr>
        <w:pStyle w:val="ListBullet"/>
        <w:numPr>
          <w:ilvl w:val="0"/>
          <w:numId w:val="11"/>
        </w:numPr>
      </w:pPr>
      <w:r>
        <w:t>реквизиты для возврата.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188, 1102, 1112, 1152 и 1174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