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РЕШЕНИЕ / ПРОТОКОЛ ОБ УТВЕРЖДЕНИИ ЛИКВИДАЦИОННОГО БАЛАНСА И РАСПРЕДЕЛЕНИИ ОСТАВШЕГОСЯ ИМУЩЕСТВА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63–64 ГК РФ; Закон № 14-ФЗ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ООО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[Единственный участник / общее собрание]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Расчёты с кредиторами завершены [дата].</w:t>
      </w:r>
    </w:p>
    <w:p>
      <w:pPr>
        <w:pStyle w:val="ListBullet"/>
        <w:spacing w:after="40" w:line="245" w:lineRule="auto"/>
      </w:pPr>
      <w:r>
        <w:t>Непогашенные требования: [нет / перечислить и объяснить].</w:t>
      </w:r>
    </w:p>
    <w:p>
      <w:pPr>
        <w:pStyle w:val="ListBullet"/>
        <w:spacing w:after="40" w:line="245" w:lineRule="auto"/>
      </w:pPr>
      <w:r>
        <w:t>Оставшееся имущество/денежные средства: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Утвердить окончательный ликвидационный баланс.</w:t>
      </w:r>
    </w:p>
    <w:p>
      <w:pPr>
        <w:pStyle w:val="ListNumber"/>
        <w:spacing w:after="40" w:line="245" w:lineRule="auto"/>
      </w:pPr>
      <w:r>
        <w:t>Распределить оставшееся имущество между участниками по применимым правилам и долям: [___].</w:t>
      </w:r>
    </w:p>
    <w:p>
      <w:pPr>
        <w:pStyle w:val="ListNumber"/>
        <w:spacing w:after="40" w:line="245" w:lineRule="auto"/>
      </w:pPr>
      <w:r>
        <w:t>Поручить ликвидатору завершить регистрационные действия по действующей форме Р15016 и передать документы на хранение.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ликвидационный баланс</w:t>
      </w:r>
    </w:p>
    <w:p>
      <w:pPr>
        <w:pStyle w:val="ListBullet"/>
        <w:spacing w:after="40" w:line="245" w:lineRule="auto"/>
      </w:pPr>
      <w:r>
        <w:t>акт/реестр расчётов с кредиторами</w:t>
      </w:r>
    </w:p>
    <w:p>
      <w:pPr>
        <w:pStyle w:val="ListBullet"/>
        <w:spacing w:after="40" w:line="245" w:lineRule="auto"/>
      </w:pPr>
      <w:r>
        <w:t>перечень оставшегося имущества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