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Уведомление об одностороннем отказе от ДДУ из-за просрочки передачи более двух месяцев</w:t>
      </w:r>
    </w:p>
    <w:p>
      <w:pPr>
        <w:pStyle w:val="SmallNote"/>
      </w:pPr>
      <w:r>
        <w:t>Категория: Заявления  •  Статья сайта: №230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Просрочка передачи превысила два месяца и участник осознанно выбирает прекращение ДДУ и возврат денег вместо получения объекта.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Застройщику: [наименование, ИНН/ОГРН, адрес]</w:t>
      </w:r>
    </w:p>
    <w:p>
      <w:pPr>
        <w:spacing w:after="40"/>
        <w:jc w:val="left"/>
      </w:pPr>
      <w:r>
        <w:rPr>
          <w:color w:val="14213D"/>
          <w:sz w:val="20"/>
        </w:rPr>
        <w:t>От участника ДДУ: [ФИО/организация,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ДДУ № [номер] от [дата], регистрация [данные]</w:t>
      </w:r>
    </w:p>
    <w:p>
      <w:pPr>
        <w:pStyle w:val="Heading1"/>
      </w:pPr>
      <w:r>
        <w:t>УВЕДОМЛЕНИЕ ОБ ОДНОСТОРОННЕМ ОТКАЗЕ ОТ ИСПОЛНЕНИЯ ДОГОВОРА УЧАСТИЯ В ДОЛЕВОМ СТРОИТЕЛЬСТВЕ</w:t>
      </w:r>
    </w:p>
    <w:p>
      <w:pPr>
        <w:pStyle w:val="Heading2"/>
      </w:pPr>
      <w:r>
        <w:t>ОБСТОЯТЕЛЬСТВА</w:t>
      </w:r>
    </w:p>
    <w:p>
      <w:r>
        <w:t>Срок передачи объекта [описание] установлен до [дата]. На дату уведомления объект не передан; просрочка составляет [число] дней и превышает два месяца. Соглашение о переносе срока [не заключалось/данные].</w:t>
      </w:r>
    </w:p>
    <w:p>
      <w:r>
        <w:t>Участник выбирает отказ от договора, понимая последствия для получения объекта, ипотеки, эскроу и регистрации. Реквизиты для возврата: [данные].</w:t>
      </w:r>
    </w:p>
    <w:p>
      <w:pPr>
        <w:pStyle w:val="Heading2"/>
      </w:pPr>
      <w:r>
        <w:t>ПРАВОВЫЕ ОСНОВАНИЯ</w:t>
      </w:r>
    </w:p>
    <w:p>
      <w:r>
        <w:t>Пункт 1 части 1 статьи 9 Закона № 214-ФЗ предоставляет участнику право на односторонний отказ при просрочке передачи более двух месяцев. Договор считается расторгнутым со дня направления уведомления заказным письмом с описью вложения; возврат денег и проценты регулируются частями 2 и 6 статьи 9 с учётом специальных периодов Постановления № 326.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Считать настоящий документ односторонним отказом от исполнения ДДУ по пункту 1 части 1 статьи 9 Закона № 214-ФЗ.</w:t>
      </w:r>
    </w:p>
    <w:p>
      <w:pPr>
        <w:pStyle w:val="ListNumber"/>
        <w:numPr>
          <w:ilvl w:val="0"/>
          <w:numId w:val="10"/>
        </w:numPr>
      </w:pPr>
      <w:r>
        <w:t>Возвратить уплаченные по ДДУ денежные средства [сумма] руб. в установленный законом срок по указанным реквизитам.</w:t>
      </w:r>
    </w:p>
    <w:p>
      <w:pPr>
        <w:pStyle w:val="ListNumber"/>
        <w:numPr>
          <w:ilvl w:val="0"/>
          <w:numId w:val="10"/>
        </w:numPr>
      </w:pPr>
      <w:r>
        <w:t>Уплатить проценты за допустимые периоды по отдельному расчёту с учётом Постановления № 326.</w:t>
      </w:r>
    </w:p>
    <w:p>
      <w:pPr>
        <w:pStyle w:val="ListNumber"/>
        <w:numPr>
          <w:ilvl w:val="0"/>
          <w:numId w:val="10"/>
        </w:numPr>
      </w:pPr>
      <w:r>
        <w:t>Совершить необходимые действия для прекращения регистрационной записи и взаимодействия с банком/эскроу-агентом в пределах компетенции.</w:t>
      </w:r>
    </w:p>
    <w:p>
      <w:pPr>
        <w:pStyle w:val="ListNumber"/>
        <w:numPr>
          <w:ilvl w:val="0"/>
          <w:numId w:val="10"/>
        </w:numPr>
      </w:pPr>
      <w:r>
        <w:t>Направить письменный расчёт и подтверждение исполнения.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используйте уведомление как способ просто получить неустойку и сохранить квартиру: отказ прекращает договор. При ипотеке и эскроу заранее согласуйте техническую последовательность с банком и проверьте обременения.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ДДУ и регистрационные сведения;</w:t>
      </w:r>
    </w:p>
    <w:p>
      <w:pPr>
        <w:pStyle w:val="ListBullet"/>
        <w:numPr>
          <w:ilvl w:val="0"/>
          <w:numId w:val="11"/>
        </w:numPr>
      </w:pPr>
      <w:r>
        <w:t>доказательства оплаты;</w:t>
      </w:r>
    </w:p>
    <w:p>
      <w:pPr>
        <w:pStyle w:val="ListBullet"/>
        <w:numPr>
          <w:ilvl w:val="0"/>
          <w:numId w:val="11"/>
        </w:numPr>
      </w:pPr>
      <w:r>
        <w:t>расчёт просрочки;</w:t>
      </w:r>
    </w:p>
    <w:p>
      <w:pPr>
        <w:pStyle w:val="ListBullet"/>
        <w:numPr>
          <w:ilvl w:val="0"/>
          <w:numId w:val="11"/>
        </w:numPr>
      </w:pPr>
      <w:r>
        <w:t>банковские/эскроу реквизиты;</w:t>
      </w:r>
    </w:p>
    <w:p>
      <w:pPr>
        <w:pStyle w:val="ListBullet"/>
        <w:numPr>
          <w:ilvl w:val="0"/>
          <w:numId w:val="11"/>
        </w:numPr>
      </w:pPr>
      <w:r>
        <w:t>доверенность — при наличии;</w:t>
      </w:r>
    </w:p>
    <w:p>
      <w:pPr>
        <w:pStyle w:val="ListBullet"/>
        <w:numPr>
          <w:ilvl w:val="0"/>
          <w:numId w:val="11"/>
        </w:numPr>
      </w:pPr>
      <w:r>
        <w:t>почтовая опись, чек и уведомление о вручении.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пункт 1 части 1, части 2, 4 и 6 статьи 9 Федерального закона № 214-ФЗ; Постановление Правительства РФ № 326 в действующей редакции; статьи 450.1 и 453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