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кредитору о непричастности к мошенническому кредиту и прекращении взыскания</w:t>
      </w:r>
    </w:p>
    <w:p>
      <w:pPr>
        <w:pStyle w:val="SmallNote"/>
      </w:pPr>
      <w:r>
        <w:t>Категория: Заявления  •  Статья сайта: №263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Немедленно после обнаружения чужого кредита. Направляется банку или МФО, указанным источником кредитной истории; не заменяет заявление в полицию и иск.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Кредитору: [банк / МФО,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паспорт,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 / УИд: [если известны]</w:t>
      </w:r>
    </w:p>
    <w:p>
      <w:pPr>
        <w:pStyle w:val="Heading1"/>
      </w:pPr>
      <w:r>
        <w:t>ЗАЯВЛЕНИЕ О НЕПРИЧАСТНОСТИ К ЗАКЛЮЧЕНИЮ КРЕДИТНОГО ДОГОВОРА</w:t>
      </w:r>
    </w:p>
    <w:p>
      <w:pPr>
        <w:pStyle w:val="Heading2"/>
      </w:pPr>
      <w:r>
        <w:t>ОБСТОЯТЕЛЬСТВА</w:t>
      </w:r>
    </w:p>
    <w:p>
      <w:r>
        <w:t>Из [кредитный отчёт / уведомление] я узнал(а) о договоре № [номер] от [дата] на [сумма]. Я его не заключал(а), деньги не получал(а), согласия на обработку данных и подтверждение операции не давал(а).</w:t>
      </w:r>
    </w:p>
    <w:p>
      <w:r>
        <w:t>Обстоятельства компрометации: [утрата телефона, SIM, взлом, фишинг]. Заявление в полицию зарегистрировано № [КУСП] от [дата].</w:t>
      </w:r>
    </w:p>
    <w:p>
      <w:pPr>
        <w:pStyle w:val="Heading2"/>
      </w:pPr>
      <w:r>
        <w:t>ПРАВОВЫЕ ОСНОВАНИЯ</w:t>
      </w:r>
    </w:p>
    <w:p>
      <w:r>
        <w:t>Обязанность возврата возникает из заключённого договора и получения денег. При оспаривании кредитной истории источник обязан рассмотреть заявление и передать достоверные сведения. Кредитор должен сохранить электронные доказательства идентификации, выдачи и движения денег.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спор, приостановить внесудебное взыскание и не уступать требование до проверки.</w:t>
      </w:r>
    </w:p>
    <w:p>
      <w:pPr>
        <w:pStyle w:val="ListNumber"/>
        <w:numPr>
          <w:ilvl w:val="0"/>
          <w:numId w:val="10"/>
        </w:numPr>
      </w:pPr>
      <w:r>
        <w:t>Выдать копии договора, заявления, анкеты, согласий, записей идентификации, журналов входа, IP/device-данных, записи звонков и документа о перечислении денег.</w:t>
      </w:r>
    </w:p>
    <w:p>
      <w:pPr>
        <w:pStyle w:val="ListNumber"/>
        <w:numPr>
          <w:ilvl w:val="0"/>
          <w:numId w:val="10"/>
        </w:numPr>
      </w:pPr>
      <w:r>
        <w:t>Проверить получателя и счёт выдачи; сообщить результаты и правовое основание, если долг продолжает учитываться.</w:t>
      </w:r>
    </w:p>
    <w:p>
      <w:pPr>
        <w:pStyle w:val="ListNumber"/>
        <w:numPr>
          <w:ilvl w:val="0"/>
          <w:numId w:val="10"/>
        </w:numPr>
      </w:pPr>
      <w:r>
        <w:t>Передать исправленные сведения во все БКИ либо мотивированно отказать с указанием доказательств.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признавайте долг частичным платежом или соглашением о реструктуризации, если отрицаете заключение договора. Оригиналы телефона и цифровых следов не изменяйте без необходимости.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кредитный отчёт;</w:t>
      </w:r>
    </w:p>
    <w:p>
      <w:pPr>
        <w:pStyle w:val="ListBullet"/>
        <w:numPr>
          <w:ilvl w:val="0"/>
          <w:numId w:val="11"/>
        </w:numPr>
      </w:pPr>
      <w:r>
        <w:t>паспорт;</w:t>
      </w:r>
    </w:p>
    <w:p>
      <w:pPr>
        <w:pStyle w:val="ListBullet"/>
        <w:numPr>
          <w:ilvl w:val="0"/>
          <w:numId w:val="11"/>
        </w:numPr>
      </w:pPr>
      <w:r>
        <w:t>талон-уведомление / КУСП;</w:t>
      </w:r>
    </w:p>
    <w:p>
      <w:pPr>
        <w:pStyle w:val="ListBullet"/>
        <w:numPr>
          <w:ilvl w:val="0"/>
          <w:numId w:val="11"/>
        </w:numPr>
      </w:pPr>
      <w:r>
        <w:t>сведения о взломе или утрате;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8, 10–12 Федерального закона № 218-ФЗ; статьи 160, 166, 168, 307, 309, 420, 432, 807, 819 ГК РФ; Федеральный закон № 152-ФЗ.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