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Возражение маркетплейсу на блокировку карточки товара по ложной жалобе</w:t>
      </w:r>
    </w:p>
    <w:p>
      <w:pPr>
        <w:jc w:val="center"/>
      </w:pPr>
      <w:r>
        <w:rPr>
          <w:b/>
          <w:sz w:val="19"/>
        </w:rPr>
        <w:t>Категория: Претензии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Оператору маркетплейса __________________</w:t>
            </w:r>
          </w:p>
          <w:p>
            <w:pPr>
              <w:spacing w:after="20"/>
            </w:pPr>
            <w:r>
              <w:rPr>
                <w:sz w:val="19"/>
              </w:rPr>
              <w:t>от продавца: 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ID кабинета/магазина: ________________</w:t>
            </w:r>
          </w:p>
        </w:tc>
      </w:tr>
    </w:tbl>
    <w:p>
      <w:pPr>
        <w:pStyle w:val="Heading1"/>
      </w:pPr>
      <w:r>
        <w:t>Спорная блокировка</w:t>
      </w:r>
    </w:p>
    <w:p>
      <w:r>
        <w:t>«___» ________ 20__ г. карточка товара № ______ / SKU ______ была ограничена или заблокирована со ссылкой на жалобу о __________________. Прошу рассматривать это обращение как мотивированное возражение по действующей оферте и правилам площадки.</w:t>
      </w:r>
    </w:p>
    <w:p>
      <w:pPr>
        <w:pStyle w:val="Heading1"/>
      </w:pPr>
      <w:r>
        <w:t>Возражения и доказательства</w:t>
      </w:r>
    </w:p>
    <w:p>
      <w:pPr>
        <w:pStyle w:val="ListNumber"/>
        <w:spacing w:after="40"/>
      </w:pPr>
      <w:r>
        <w:t>Сообщить точное основание ограничения: пункт оферты/правил, содержание претензии и конкретный спорный объект.</w:t>
      </w:r>
    </w:p>
    <w:p>
      <w:pPr>
        <w:pStyle w:val="ListNumber"/>
        <w:spacing w:after="40"/>
      </w:pPr>
      <w:r>
        <w:t>Учесть прилагаемые документы о происхождении, маркировке, сертификации, правах на контент/товарный знак и иные подтверждения законности товара.</w:t>
      </w:r>
    </w:p>
    <w:p>
      <w:pPr>
        <w:pStyle w:val="ListNumber"/>
        <w:spacing w:after="40"/>
      </w:pPr>
      <w:r>
        <w:t>Сопоставить утверждения жалобы с представленными доказательствами и не считать само наличие жалобы достаточным подтверждением нарушения.</w:t>
      </w:r>
    </w:p>
    <w:p>
      <w:pPr>
        <w:pStyle w:val="ListNumber"/>
        <w:spacing w:after="40"/>
      </w:pPr>
      <w:r>
        <w:t>Сохранить историю модерации, жалобу, технические журналы, переписку, рейтинг и отзывы карточки до завершения спора.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Отменить необоснованное ограничение и восстановить карточку товара, если нарушение не подтверждено.</w:t>
      </w:r>
    </w:p>
    <w:p>
      <w:pPr>
        <w:pStyle w:val="ListNumber"/>
        <w:spacing w:after="40"/>
      </w:pPr>
      <w:r>
        <w:t>Сохранить рейтинг, отзывы и иные показатели карточки, если правила площадки позволяют это после отмены ошибочного ограничения.</w:t>
      </w:r>
    </w:p>
    <w:p>
      <w:pPr>
        <w:pStyle w:val="ListNumber"/>
        <w:spacing w:after="40"/>
      </w:pPr>
      <w:r>
        <w:t>Направить мотивированный письменный ответ с указанием документов и фактов, на которых основано решение.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До 1 октября 2026 года не следует ссылаться на специальный порядок Федерального закона № 289-ФЗ как на уже действующий. На дату этого шаблона спор оценивается прежде всего по действующей оферте, ГК РФ и применимым нормам о конкуренции и интеллектуальных правах.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ГК РФ: статьи 10, 15, 309, 310, 393 и применимые нормы об интеллектуальных правах; Федеральный закон № 135-ФЗ - при наличии конкурентного аспекта.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