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sz w:val="19"/>
        </w:rPr>
        <w:t>В [наименование районного суда]</w:t>
        <w:br/>
      </w:r>
      <w:r>
        <w:rPr>
          <w:sz w:val="19"/>
        </w:rPr>
        <w:t>адрес: [___]</w:t>
        <w:br/>
      </w:r>
      <w:r>
        <w:rPr>
          <w:sz w:val="19"/>
        </w:rPr>
        <w:br/>
      </w:r>
      <w:r>
        <w:rPr>
          <w:sz w:val="19"/>
        </w:rPr>
        <w:t>Истец: [Ф.И.О.]</w:t>
        <w:br/>
      </w:r>
      <w:r>
        <w:rPr>
          <w:sz w:val="19"/>
        </w:rPr>
        <w:t>дата и место рождения: [___]</w:t>
        <w:br/>
      </w:r>
      <w:r>
        <w:rPr>
          <w:sz w:val="19"/>
        </w:rPr>
        <w:t>адрес: [___]</w:t>
        <w:br/>
      </w:r>
      <w:r>
        <w:rPr>
          <w:sz w:val="19"/>
        </w:rPr>
        <w:t>идентификатор (СНИЛС/ИНН/паспорт/водительское удостоверение): [___]</w:t>
        <w:br/>
      </w:r>
      <w:r>
        <w:rPr>
          <w:sz w:val="19"/>
        </w:rPr>
        <w:t>телефон, e-mail: [___]</w:t>
        <w:br/>
      </w:r>
      <w:r>
        <w:rPr>
          <w:sz w:val="19"/>
        </w:rPr>
        <w:br/>
      </w:r>
      <w:r>
        <w:rPr>
          <w:sz w:val="19"/>
        </w:rPr>
        <w:t>Истец по первоначальному иску: [ребенок через представителя / прокурор / иное лицо]</w:t>
        <w:br/>
      </w:r>
      <w:r>
        <w:rPr>
          <w:sz w:val="19"/>
        </w:rPr>
        <w:t>адрес / место жительства: [___]</w:t>
        <w:br/>
      </w:r>
      <w:r>
        <w:rPr>
          <w:sz w:val="19"/>
        </w:rPr>
        <w:t>дата и место рождения, место работы, идентификатор — если известны: [___]</w:t>
        <w:br/>
      </w:r>
      <w:r>
        <w:rPr>
          <w:sz w:val="19"/>
        </w:rPr>
        <w:br/>
      </w:r>
      <w:r>
        <w:rPr>
          <w:sz w:val="19"/>
        </w:rPr>
        <w:t>Продавец квартиры: [Ф.И.О.] — просить привлечь к участию в деле по ст. 462 ГК РФ</w:t>
        <w:br/>
      </w:r>
      <w:r>
        <w:rPr>
          <w:sz w:val="19"/>
        </w:rPr>
        <w:t>адрес: [___]</w:t>
      </w:r>
    </w:p>
    <w:p>
      <w:pPr>
        <w:spacing w:after="160"/>
        <w:jc w:val="center"/>
      </w:pPr>
      <w:r>
        <w:rPr>
          <w:rFonts w:ascii="Arial" w:hAnsi="Arial"/>
          <w:b/>
          <w:sz w:val="26"/>
        </w:rPr>
        <w:t>ВОЗРАЖЕНИЯ НА ИСК</w:t>
        <w:br/>
        <w:t>о признании сделки недействительной, признании долей детей или истребовании квартиры в связи с использованием материнского капитала</w:t>
      </w:r>
    </w:p>
    <w:p>
      <w:pPr>
        <w:spacing w:after="60" w:line="247" w:lineRule="auto"/>
      </w:pPr>
      <w:r>
        <w:t>Ответчик приобрел квартиру по адресу [___] у [Ф.И.О.] по возмездному договору от [___], оплатил цену [___] руб. и зарегистрировал право собственности [дата]. На дату сделки в ЕГРН были указаны [сведения]; зарегистрированные доли детей/ограничения [отсутствовали/указать].</w:t>
      </w:r>
    </w:p>
    <w:p>
      <w:pPr>
        <w:spacing w:after="60" w:line="247" w:lineRule="auto"/>
      </w:pPr>
      <w:r>
        <w:t>После сделки заявлены требования, основанные на том, что прежний собственник использовал средства материнского капитала, но не оформил доли детей. Ответчик не оспаривает необходимость защиты законных имущественных прав детей, однако возражает против автоматического вывода о недействительности всей сделки или изъятии всей квартиры без оценки размера прав детей, поведения сторон и добросовестности покупателя.</w:t>
      </w:r>
    </w:p>
    <w:p>
      <w:pPr>
        <w:pStyle w:val="Heading2"/>
        <w:spacing w:before="140" w:after="60"/>
      </w:pPr>
      <w:r>
        <w:t>Правовая позиция</w:t>
      </w:r>
    </w:p>
    <w:p>
      <w:pPr>
        <w:spacing w:after="40"/>
        <w:ind w:left="255" w:hanging="159"/>
      </w:pPr>
      <w:r>
        <w:t>• Часть 4 ст. 10 Закона № 256-ФЗ требует оформить жилье в общую собственность родителей и детей.</w:t>
      </w:r>
    </w:p>
    <w:p>
      <w:pPr>
        <w:spacing w:after="40"/>
        <w:ind w:left="255" w:hanging="159"/>
      </w:pPr>
      <w:r>
        <w:t>• Судебная практика Верховного Суда исходит из того, что при определении долей учитывается участие средств маткапитала: доли родителей и детей на соответствующую часть средств определяются с учетом равенства, а не автоматически от всей стоимости жилья; доли детей могут быть увеличены соглашением.</w:t>
      </w:r>
    </w:p>
    <w:p>
      <w:pPr>
        <w:spacing w:after="40"/>
        <w:ind w:left="255" w:hanging="159"/>
      </w:pPr>
      <w:r>
        <w:t>• При защите вещных прав применяются правила ст. 302 ГК РФ о добросовестном приобретателе и оценивается, знал ли покупатель или мог ли знать о притязаниях.</w:t>
      </w:r>
    </w:p>
    <w:p>
      <w:pPr>
        <w:spacing w:after="40"/>
        <w:ind w:left="255" w:hanging="159"/>
      </w:pPr>
      <w:r>
        <w:t>• При предъявлении к покупателю требования об изъятии по основанию, возникшему до продажи, продавец должен быть привлечен к участию в деле (ст. 462 ГК РФ).</w:t>
      </w:r>
    </w:p>
    <w:p>
      <w:pPr>
        <w:spacing w:after="40"/>
        <w:ind w:left="255" w:hanging="159"/>
      </w:pPr>
      <w:r>
        <w:t>• Способ защиты должен быть соразмерен установленному нарушению и учитывать права несовершеннолетних и добросовестного участника оборота; сам факт использования маткапитала не позволяет заранее определить итог конкретного спора.</w:t>
      </w:r>
    </w:p>
    <w:p>
      <w:pPr>
        <w:pStyle w:val="Heading2"/>
        <w:spacing w:before="140" w:after="60"/>
      </w:pPr>
      <w:r>
        <w:t>Прошу суд</w:t>
      </w:r>
    </w:p>
    <w:p>
      <w:pPr>
        <w:spacing w:after="40"/>
        <w:ind w:left="255" w:hanging="159"/>
      </w:pPr>
      <w:r>
        <w:t>• Привлечь продавца [Ф.И.О.] к участию в деле на стороне Ответчика в порядке, соответствующем предмету спора и ст. 462 ГК РФ.</w:t>
      </w:r>
    </w:p>
    <w:p>
      <w:pPr>
        <w:spacing w:after="40"/>
        <w:ind w:left="255" w:hanging="159"/>
      </w:pPr>
      <w:r>
        <w:t>• Истребовать из СФР документы о размере и направлении средств материнского капитала, а также регистрационное дело Росреестра и документы сделки — если они отсутствуют у сторон.</w:t>
      </w:r>
    </w:p>
    <w:p>
      <w:pPr>
        <w:spacing w:after="40"/>
        <w:ind w:left="255" w:hanging="159"/>
      </w:pPr>
      <w:r>
        <w:t>• Исследовать размер имущественного права каждого ребенка исходя из суммы маткапитала, состава семьи и стоимости приобретения, а не исходя из презумпции права детей на всю квартиру.</w:t>
      </w:r>
    </w:p>
    <w:p>
      <w:pPr>
        <w:spacing w:after="40"/>
        <w:ind w:left="255" w:hanging="159"/>
      </w:pPr>
      <w:r>
        <w:t>• Оценить добросовестность Ответчика: сведения ЕГРН, цену, способ расчетов, ипотечную/нотариальную/риэлторскую проверку, переданные продавцом документы и отсутствие/наличие признаков риска.</w:t>
      </w:r>
    </w:p>
    <w:p>
      <w:pPr>
        <w:spacing w:after="40"/>
        <w:ind w:left="255" w:hanging="159"/>
      </w:pPr>
      <w:r>
        <w:t>• Отказать в требованиях полностью либо в соответствующей части, если заявленный способ защиты не соответствует установленным правам и основаниям закона.</w:t>
      </w:r>
    </w:p>
    <w:p>
      <w:pPr>
        <w:pStyle w:val="Heading2"/>
        <w:spacing w:before="140" w:after="60"/>
      </w:pPr>
      <w:r>
        <w:t>Приложения</w:t>
      </w:r>
    </w:p>
    <w:p>
      <w:pPr>
        <w:spacing w:after="40"/>
        <w:ind w:left="255" w:hanging="159"/>
      </w:pPr>
      <w:r>
        <w:t>• Договор покупки, документы об оплате, выписка ЕГРН на дату сделки.</w:t>
      </w:r>
    </w:p>
    <w:p>
      <w:pPr>
        <w:spacing w:after="40"/>
        <w:ind w:left="255" w:hanging="159"/>
      </w:pPr>
      <w:r>
        <w:t>• Документы проверки объекта: банковские, нотариальные, риэлторские, архивные — при наличии.</w:t>
      </w:r>
    </w:p>
    <w:p>
      <w:pPr>
        <w:spacing w:after="40"/>
        <w:ind w:left="255" w:hanging="159"/>
      </w:pPr>
      <w:r>
        <w:t>• Переписка и заверения продавца.</w:t>
      </w:r>
    </w:p>
    <w:p>
      <w:pPr>
        <w:spacing w:after="40"/>
        <w:ind w:left="255" w:hanging="159"/>
      </w:pPr>
      <w:r>
        <w:t>• Претензия продавцу и доказательство направления.</w:t>
      </w:r>
    </w:p>
    <w:p>
      <w:pPr>
        <w:spacing w:after="40"/>
        <w:ind w:left="255" w:hanging="159"/>
      </w:pPr>
      <w:r>
        <w:t>• Иные доказательства добросовестности.</w:t>
      </w:r>
    </w:p>
    <w:p>
      <w:pPr>
        <w:spacing w:after="60" w:line="247" w:lineRule="auto"/>
      </w:pPr>
      <w:r>
        <w:t>Важно: это защитный шаблон. Он не утверждает, что добросовестность всегда исключает требования детей. Конкретный способ защиты зависит от того, какие доли возникли, как выбыло имущество, что знал покупатель и какие требования заявлены.</w:t>
      </w:r>
    </w:p>
    <w:p>
      <w:pPr>
        <w:spacing w:after="60" w:line="247" w:lineRule="auto"/>
      </w:pPr>
      <w:r>
        <w:t>Дата: __________     Подпись: __________ /[Ф.И.О.]/</w:t>
      </w:r>
    </w:p>
    <w:sectPr w:rsidR="00FC693F" w:rsidRPr="0006063C" w:rsidSect="00034616">
      <w:footerReference w:type="default" r:id="rId9"/>
      <w:pgSz w:w="12240" w:h="15840"/>
      <w:pgMar w:top="992" w:right="1020" w:bottom="992"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Юристы в джинсах • образец документа • проверено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