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[наименование районного суда]</w:t>
        <w:br/>
      </w:r>
      <w:r>
        <w:rPr>
          <w:sz w:val="19"/>
        </w:rPr>
        <w:t>адрес: [___]</w:t>
        <w:br/>
      </w:r>
      <w:r>
        <w:rPr>
          <w:sz w:val="19"/>
        </w:rPr>
        <w:br/>
      </w:r>
      <w:r>
        <w:rPr>
          <w:sz w:val="19"/>
        </w:rPr>
        <w:t>Истец: [Ф.И.О.]</w:t>
        <w:br/>
      </w:r>
      <w:r>
        <w:rPr>
          <w:sz w:val="19"/>
        </w:rPr>
        <w:t>дата и место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идентификатор (СНИЛС/ИНН/паспорт/водительское удостоверение): [___]</w:t>
        <w:br/>
      </w:r>
      <w:r>
        <w:rPr>
          <w:sz w:val="19"/>
        </w:rPr>
        <w:t>телефон, e-mail: [___]</w:t>
        <w:br/>
      </w:r>
      <w:r>
        <w:rPr>
          <w:sz w:val="19"/>
        </w:rPr>
        <w:br/>
      </w:r>
      <w:r>
        <w:rPr>
          <w:sz w:val="19"/>
        </w:rPr>
        <w:t>Истец по первоначальному иску: [Ф.И.О. пережившего супруга]</w:t>
        <w:br/>
      </w:r>
      <w:r>
        <w:rPr>
          <w:sz w:val="19"/>
        </w:rPr>
        <w:t>адрес / место жительства: [___]</w:t>
        <w:br/>
      </w:r>
      <w:r>
        <w:rPr>
          <w:sz w:val="19"/>
        </w:rPr>
        <w:t>дата и место рождения, место работы, идентификатор — если известны: [___]</w:t>
        <w:br/>
      </w:r>
      <w:r>
        <w:rPr>
          <w:sz w:val="19"/>
        </w:rPr>
        <w:br/>
      </w:r>
      <w:r>
        <w:rPr>
          <w:sz w:val="19"/>
        </w:rPr>
        <w:t>Продавцы-наследники: [Ф.И.О.] — просить привлечь к участию в деле</w:t>
        <w:br/>
      </w:r>
      <w:r>
        <w:rPr>
          <w:sz w:val="19"/>
        </w:rPr>
        <w:t>адрес: [___]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ВОЗРАЖЕНИЯ НА ИСК</w:t>
        <w:br/>
        <w:t>пережившего супруга о признании права, недействительности сделки или истребовании квартиры у покупателя</w:t>
      </w:r>
    </w:p>
    <w:p>
      <w:pPr>
        <w:spacing w:after="60" w:line="247" w:lineRule="auto"/>
      </w:pPr>
      <w:r>
        <w:t>Ответчик приобрел квартиру по адресу [___] у наследников [Ф.И.О.] по договору от [___], оплатил цену [___] руб. и зарегистрировал право [дата]. По данным ЕГРН и представленным продавцами документам [описать цепочку права].</w:t>
      </w:r>
    </w:p>
    <w:p>
      <w:pPr>
        <w:spacing w:after="60" w:line="247" w:lineRule="auto"/>
      </w:pPr>
      <w:r>
        <w:t>Истец ссылается на то, что квартира была приобретена наследодателем в период брака и его/ее супружеская доля не была выделена до оформления наследства и продажи. Ответчик просит разграничить само наличие супружеской доли и допустимость конкретного способа защиты против последующего добросовестного покупателя.</w:t>
      </w:r>
    </w:p>
    <w:p>
      <w:pPr>
        <w:pStyle w:val="Heading2"/>
        <w:spacing w:before="140" w:after="60"/>
      </w:pPr>
      <w:r>
        <w:t>Правовая позиция</w:t>
      </w:r>
    </w:p>
    <w:p>
      <w:pPr>
        <w:spacing w:after="40"/>
        <w:ind w:left="255" w:hanging="159"/>
      </w:pPr>
      <w:r>
        <w:t>• Статья 1150 ГК РФ сохраняет за пережившим супругом его собственную долю в общем имуществе; в наследство входит только доля умершего супруга.</w:t>
      </w:r>
    </w:p>
    <w:p>
      <w:pPr>
        <w:spacing w:after="40"/>
        <w:ind w:left="255" w:hanging="159"/>
      </w:pPr>
      <w:r>
        <w:t>• По ст. 256 ГК РФ исходный размер доли пережившего супруга обычно составляет 1/2 общего имущества, если иной режим не установлен брачным договором, совместным завещанием, наследственным договором или решением суда.</w:t>
      </w:r>
    </w:p>
    <w:p>
      <w:pPr>
        <w:spacing w:after="40"/>
        <w:ind w:left="255" w:hanging="159"/>
      </w:pPr>
      <w:r>
        <w:t>• Для истребования имущества у возмездного добросовестного приобретателя должны быть доказаны условия ст. 302 ГК РФ, включая обстоятельства выбытия имущества.</w:t>
      </w:r>
    </w:p>
    <w:p>
      <w:pPr>
        <w:spacing w:after="40"/>
        <w:ind w:left="255" w:hanging="159"/>
      </w:pPr>
      <w:r>
        <w:t>• Конституционный Суд РФ в Постановлении от 13.07.2021 №35-П подчеркнул необходимость защиты добросовестного покупателя жилья, полагавшегося на ЕГРН, при оценке поведения супруга-правообладателя. Эта позиция подлежит учету как ориентир баланса интересов, но факты дела пережившего супруга должны исследоваться самостоятельно.</w:t>
      </w:r>
    </w:p>
    <w:p>
      <w:pPr>
        <w:spacing w:after="40"/>
        <w:ind w:left="255" w:hanging="159"/>
      </w:pPr>
      <w:r>
        <w:t>• По ст. 462 ГК РФ продавцы-наследники должны участвовать в споре, если иск основан на обстоятельствах, возникших до продажи.</w:t>
      </w:r>
    </w:p>
    <w:p>
      <w:pPr>
        <w:pStyle w:val="Heading2"/>
        <w:spacing w:before="140" w:after="60"/>
      </w:pPr>
      <w:r>
        <w:t>Прошу суд</w:t>
      </w:r>
    </w:p>
    <w:p>
      <w:pPr>
        <w:spacing w:after="40"/>
        <w:ind w:left="255" w:hanging="159"/>
      </w:pPr>
      <w:r>
        <w:t>• Привлечь продавцов-наследников [Ф.И.О.] к участию в деле.</w:t>
      </w:r>
    </w:p>
    <w:p>
      <w:pPr>
        <w:spacing w:after="40"/>
        <w:ind w:left="255" w:hanging="159"/>
      </w:pPr>
      <w:r>
        <w:t>• Истребовать наследственное дело, регистрационное дело Росреестра, документы о приобретении квартиры наследодателем и брачном режиме.</w:t>
      </w:r>
    </w:p>
    <w:p>
      <w:pPr>
        <w:spacing w:after="40"/>
        <w:ind w:left="255" w:hanging="159"/>
      </w:pPr>
      <w:r>
        <w:t>• Проверить, являлась ли квартира общим имуществом супругов либо личной собственностью наследодателя, и определить фактический размер права Истца.</w:t>
      </w:r>
    </w:p>
    <w:p>
      <w:pPr>
        <w:spacing w:after="40"/>
        <w:ind w:left="255" w:hanging="159"/>
      </w:pPr>
      <w:r>
        <w:t>• Оценить добросовестность Ответчика: данные ЕГРН, цену, документы наследников, нотариальную/банковскую проверку, сведения о семье наследодателя, которые были доступны покупателю.</w:t>
      </w:r>
    </w:p>
    <w:p>
      <w:pPr>
        <w:spacing w:after="40"/>
        <w:ind w:left="255" w:hanging="159"/>
      </w:pPr>
      <w:r>
        <w:t>• Отказать в заявленном способе защиты полностью или в соответствующей части, если отсутствуют предусмотренные законом основания для изъятия квартиры у Ответчика.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• Договор купли-продажи и платежные документы.</w:t>
      </w:r>
    </w:p>
    <w:p>
      <w:pPr>
        <w:spacing w:after="40"/>
        <w:ind w:left="255" w:hanging="159"/>
      </w:pPr>
      <w:r>
        <w:t>• Выписка ЕГРН на дату сделки.</w:t>
      </w:r>
    </w:p>
    <w:p>
      <w:pPr>
        <w:spacing w:after="40"/>
        <w:ind w:left="255" w:hanging="159"/>
      </w:pPr>
      <w:r>
        <w:t>• Предоставленные продавцами свидетельства о наследстве и иные документы.</w:t>
      </w:r>
    </w:p>
    <w:p>
      <w:pPr>
        <w:spacing w:after="40"/>
        <w:ind w:left="255" w:hanging="159"/>
      </w:pPr>
      <w:r>
        <w:t>• Материалы проверки объекта и добросовестности покупателя.</w:t>
      </w:r>
    </w:p>
    <w:p>
      <w:pPr>
        <w:spacing w:after="40"/>
        <w:ind w:left="255" w:hanging="159"/>
      </w:pPr>
      <w:r>
        <w:t>• Уведомление продавцам и подтверждение направления.</w:t>
      </w:r>
    </w:p>
    <w:p>
      <w:pPr>
        <w:spacing w:after="60" w:line="247" w:lineRule="auto"/>
      </w:pPr>
      <w:r>
        <w:t>Важно: наличие супружеской доли не следует отрицать только потому, что она не была зарегистрирована в ЕГРН. Защита покупателя строится на правильном определении права супруга, условиях ст. 302 ГК РФ и оценке поведения всех участников, а не на одной выписке ЕГРН.</w:t>
      </w:r>
    </w:p>
    <w:p>
      <w:pPr>
        <w:spacing w:after="60" w:line="247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