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ВОЗРАЖЕНИЯ НА ИСК КРЕДИТОРА К НАСЛЕДНИКУ ПО ДОЛГАМ НАСЛЕДОДАТЕЛЯ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Статья 1175 ГК РФ; статьи 35, 56, 149 ГПК РФ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В [суд]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Дело № [___]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Ответчик: [наследник]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Истец: [кредитор]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Позиция ответчика</w:t>
      </w:r>
    </w:p>
    <w:p>
      <w:pPr>
        <w:pStyle w:val="ListBullet"/>
        <w:spacing w:after="40" w:line="245" w:lineRule="auto"/>
      </w:pPr>
      <w:r>
        <w:t>Кредитор обязан доказать существование и размер долга наследодателя.</w:t>
      </w:r>
    </w:p>
    <w:p>
      <w:pPr>
        <w:pStyle w:val="ListBullet"/>
        <w:spacing w:after="40" w:line="245" w:lineRule="auto"/>
      </w:pPr>
      <w:r>
        <w:t>Ответственность наследника ограничена стоимостью перешедшего ему наследственного имущества; рыночная стоимость определяется на время открытия наследства.</w:t>
      </w:r>
    </w:p>
    <w:p>
      <w:pPr>
        <w:pStyle w:val="ListBullet"/>
        <w:spacing w:after="40" w:line="245" w:lineRule="auto"/>
      </w:pPr>
      <w:r>
        <w:t>Следует учесть платежи, страховое возмещение, стоимость реализованного обеспечения и иные погашения.</w:t>
      </w:r>
    </w:p>
    <w:p>
      <w:pPr>
        <w:pStyle w:val="ListBullet"/>
        <w:spacing w:after="40" w:line="245" w:lineRule="auto"/>
      </w:pPr>
      <w:r>
        <w:t>Если наследство фактически не принято, это должно быть доказано документами и обстоятельствами.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fill="D9EAF7"/>
          </w:tcPr>
          <w:p>
            <w:r>
              <w:t>Показатель</w:t>
            </w:r>
          </w:p>
        </w:tc>
        <w:tc>
          <w:tcPr>
            <w:tcW w:type="dxa" w:w="3400"/>
            <w:shd w:fill="D9EAF7"/>
          </w:tcPr>
          <w:p>
            <w:r>
              <w:t>Сумма/статус</w:t>
            </w:r>
          </w:p>
        </w:tc>
        <w:tc>
          <w:tcPr>
            <w:tcW w:type="dxa" w:w="3400"/>
            <w:shd w:fill="D9EAF7"/>
          </w:tcPr>
          <w:p>
            <w:r>
              <w:t>Документ</w:t>
            </w:r>
          </w:p>
        </w:tc>
      </w:tr>
      <w:tr>
        <w:tc>
          <w:tcPr>
            <w:tcW w:type="dxa" w:w="3400"/>
          </w:tcPr>
          <w:p>
            <w:r>
              <w:t>Требование кредитора</w:t>
            </w:r>
          </w:p>
        </w:tc>
        <w:tc>
          <w:tcPr>
            <w:tcW w:type="dxa" w:w="3400"/>
          </w:tcPr>
          <w:p>
            <w:r>
              <w:t>[___]</w:t>
            </w:r>
          </w:p>
        </w:tc>
        <w:tc>
          <w:tcPr>
            <w:tcW w:type="dxa" w:w="3400"/>
          </w:tcPr>
          <w:p>
            <w:r>
              <w:t>[___]</w:t>
            </w:r>
          </w:p>
        </w:tc>
      </w:tr>
      <w:tr>
        <w:tc>
          <w:tcPr>
            <w:tcW w:type="dxa" w:w="3400"/>
          </w:tcPr>
          <w:p>
            <w:r>
              <w:t>Стоимость перешедшего имущества</w:t>
            </w:r>
          </w:p>
        </w:tc>
        <w:tc>
          <w:tcPr>
            <w:tcW w:type="dxa" w:w="3400"/>
          </w:tcPr>
          <w:p>
            <w:r>
              <w:t>[___]</w:t>
            </w:r>
          </w:p>
        </w:tc>
        <w:tc>
          <w:tcPr>
            <w:tcW w:type="dxa" w:w="3400"/>
          </w:tcPr>
          <w:p>
            <w:r>
              <w:t>[___]</w:t>
            </w:r>
          </w:p>
        </w:tc>
      </w:tr>
      <w:tr>
        <w:tc>
          <w:tcPr>
            <w:tcW w:type="dxa" w:w="3400"/>
          </w:tcPr>
          <w:p>
            <w:r>
              <w:t>Погашения/страхование</w:t>
            </w:r>
          </w:p>
        </w:tc>
        <w:tc>
          <w:tcPr>
            <w:tcW w:type="dxa" w:w="3400"/>
          </w:tcPr>
          <w:p>
            <w:r>
              <w:t>[___]</w:t>
            </w:r>
          </w:p>
        </w:tc>
        <w:tc>
          <w:tcPr>
            <w:tcW w:type="dxa" w:w="3400"/>
          </w:tcPr>
          <w:p>
            <w:r>
              <w:t>[___]</w:t>
            </w:r>
          </w:p>
        </w:tc>
      </w:tr>
      <w:tr>
        <w:tc>
          <w:tcPr>
            <w:tcW w:type="dxa" w:w="3400"/>
          </w:tcPr>
          <w:p>
            <w:r>
              <w:t>Спорная часть</w:t>
            </w:r>
          </w:p>
        </w:tc>
        <w:tc>
          <w:tcPr>
            <w:tcW w:type="dxa" w:w="3400"/>
          </w:tcPr>
          <w:p>
            <w:r>
              <w:t>[___]</w:t>
            </w:r>
          </w:p>
        </w:tc>
        <w:tc>
          <w:tcPr>
            <w:tcW w:type="dxa" w:w="3400"/>
          </w:tcPr>
          <w:p>
            <w:r>
              <w:t>[___]</w:t>
            </w:r>
          </w:p>
        </w:tc>
      </w:tr>
    </w:tbl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СУД</w:t>
      </w:r>
    </w:p>
    <w:p>
      <w:pPr>
        <w:pStyle w:val="ListNumber"/>
        <w:spacing w:after="40" w:line="245" w:lineRule="auto"/>
      </w:pPr>
      <w:r>
        <w:t>Отказать в иске в части, превышающей доказанный долг и предел ответственности наследника.</w:t>
      </w:r>
    </w:p>
    <w:p>
      <w:pPr>
        <w:pStyle w:val="ListNumber"/>
        <w:spacing w:after="40" w:line="245" w:lineRule="auto"/>
      </w:pPr>
      <w:r>
        <w:t>При необходимости истребовать наследственное дело, банковский расчёт и документы страхования.</w:t>
      </w:r>
    </w:p>
    <w:p>
      <w:pPr>
        <w:pStyle w:val="ListNumber"/>
        <w:spacing w:after="40" w:line="245" w:lineRule="auto"/>
      </w:pPr>
      <w:r>
        <w:t>Распределить судебные расходы по результатам рассмотрения.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свидетельство о праве на наследство/материалы наследственного дела</w:t>
      </w:r>
    </w:p>
    <w:p>
      <w:pPr>
        <w:pStyle w:val="ListBullet"/>
        <w:spacing w:after="40" w:line="245" w:lineRule="auto"/>
      </w:pPr>
      <w:r>
        <w:t>оценка имущества</w:t>
      </w:r>
    </w:p>
    <w:p>
      <w:pPr>
        <w:pStyle w:val="ListBullet"/>
        <w:spacing w:after="40" w:line="245" w:lineRule="auto"/>
      </w:pPr>
      <w:r>
        <w:t>платежи</w:t>
      </w:r>
    </w:p>
    <w:p>
      <w:pPr>
        <w:pStyle w:val="ListBullet"/>
        <w:spacing w:after="40" w:line="245" w:lineRule="auto"/>
      </w:pPr>
      <w:r>
        <w:t>страховые документы</w:t>
      </w:r>
    </w:p>
    <w:p>
      <w:pPr>
        <w:pStyle w:val="ListBullet"/>
        <w:spacing w:after="40" w:line="245" w:lineRule="auto"/>
      </w:pPr>
      <w:r>
        <w:t>контррасчёт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