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Возражения на иск МФО с контррасчётом процентов и неустойки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№337</w:t>
      </w:r>
    </w:p>
    <w:p>
      <w:pPr>
        <w:spacing w:after="160"/>
      </w:pPr>
      <w:r>
        <w:rPr>
          <w:b/>
          <w:color w:val="676767"/>
          <w:sz w:val="19"/>
        </w:rPr>
        <w:t>Структура: ВОЗРАЖЕНИЯ ПО ГПК РФ: вводная • позиция по фактам • правовые доводы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Подаются в уже рассматриваемом гражданском деле. Возражения не заменяют встречный иск, если заёмщик просит вернуть переплату или признать отдельное условие недействительным.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[суд, рассматривающий дело]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[номер]</w:t>
      </w:r>
    </w:p>
    <w:p>
      <w:pPr>
        <w:spacing w:after="40"/>
        <w:jc w:val="left"/>
      </w:pPr>
      <w:r>
        <w:rPr>
          <w:color w:val="14213D"/>
          <w:sz w:val="20"/>
        </w:rPr>
        <w:t>Ответчик: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Истец: [МФО / правопреемник]</w:t>
      </w:r>
    </w:p>
    <w:p>
      <w:pPr>
        <w:pStyle w:val="Heading1"/>
      </w:pPr>
      <w:r>
        <w:t>ВОЗРАЖЕНИЯ НА ИСК О ВЗЫСКАНИИ ЗАДОЛЖЕННОСТИ ПО МИКРОЗАЙМУ</w:t>
      </w:r>
    </w:p>
    <w:p>
      <w:r>
        <w:t>Истец требует [сумма] руб. по договору № [номер] от [дата]. С требованиями [не согласен полностью / согласен в части] по следующим причинам.</w:t>
      </w:r>
    </w:p>
    <w:p>
      <w:pPr>
        <w:pStyle w:val="Heading2"/>
      </w:pPr>
      <w:r>
        <w:t>ВОЗРАЖЕНИЯ И КОНТРРАСЧЁТ</w:t>
      </w:r>
    </w:p>
    <w:p>
      <w:pPr>
        <w:pStyle w:val="ListNumber"/>
        <w:numPr>
          <w:ilvl w:val="0"/>
          <w:numId w:val="10"/>
        </w:numPr>
      </w:pPr>
      <w:r>
        <w:t>Основной долг по представленным платежам составляет [сумма], а не [сумма истца].</w:t>
      </w:r>
    </w:p>
    <w:p>
      <w:pPr>
        <w:pStyle w:val="ListNumber"/>
        <w:numPr>
          <w:ilvl w:val="0"/>
          <w:numId w:val="10"/>
        </w:numPr>
      </w:pPr>
      <w:r>
        <w:t>Проценты должны рассчитываться с учётом пределов, действовавших на дату договора; расчёт истца нарушает [конкретное ограничение].</w:t>
      </w:r>
    </w:p>
    <w:p>
      <w:pPr>
        <w:pStyle w:val="ListNumber"/>
        <w:numPr>
          <w:ilvl w:val="0"/>
          <w:numId w:val="10"/>
        </w:numPr>
      </w:pPr>
      <w:r>
        <w:t>Неустойка [рассчитана неверно / явно несоразмерна последствиям нарушения]; прошу применить статью 333 ГК РФ.</w:t>
      </w:r>
    </w:p>
    <w:p>
      <w:pPr>
        <w:pStyle w:val="ListNumber"/>
        <w:numPr>
          <w:ilvl w:val="0"/>
          <w:numId w:val="10"/>
        </w:numPr>
      </w:pPr>
      <w:r>
        <w:t>Платежи [даты, суммы] не учтены / распределены с нарушением применимого порядка.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Отказать в иске в части [сумма] руб. и определить задолженность по приложенному контррасчёту.</w:t>
      </w:r>
    </w:p>
    <w:p>
      <w:pPr>
        <w:pStyle w:val="ListNumber"/>
        <w:numPr>
          <w:ilvl w:val="0"/>
          <w:numId w:val="10"/>
        </w:numPr>
      </w:pPr>
      <w:r>
        <w:t>Снизить неустойку до соразмерного размера.</w:t>
      </w:r>
    </w:p>
    <w:p>
      <w:pPr>
        <w:pStyle w:val="ListNumber"/>
        <w:numPr>
          <w:ilvl w:val="0"/>
          <w:numId w:val="10"/>
        </w:numPr>
      </w:pPr>
      <w:r>
        <w:t>Истребовать у истца первичные данные расчёта, историю платежей и документы о переходе права требования — если они не представлены.</w:t>
      </w:r>
    </w:p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возражений для участников;</w:t>
      </w:r>
    </w:p>
    <w:p>
      <w:pPr>
        <w:pStyle w:val="ListBullet"/>
        <w:numPr>
          <w:ilvl w:val="0"/>
          <w:numId w:val="11"/>
        </w:numPr>
      </w:pPr>
      <w:r>
        <w:t>договор и приложения;</w:t>
      </w:r>
    </w:p>
    <w:p>
      <w:pPr>
        <w:pStyle w:val="ListBullet"/>
        <w:numPr>
          <w:ilvl w:val="0"/>
          <w:numId w:val="11"/>
        </w:numPr>
      </w:pPr>
      <w:r>
        <w:t>чеки и выписки;</w:t>
      </w:r>
    </w:p>
    <w:p>
      <w:pPr>
        <w:pStyle w:val="ListBullet"/>
        <w:numPr>
          <w:ilvl w:val="0"/>
          <w:numId w:val="11"/>
        </w:numPr>
      </w:pPr>
      <w:r>
        <w:t>таблица контррасчёта;</w:t>
      </w:r>
    </w:p>
    <w:p>
      <w:pPr>
        <w:pStyle w:val="ListBullet"/>
        <w:numPr>
          <w:ilvl w:val="0"/>
          <w:numId w:val="11"/>
        </w:numPr>
      </w:pPr>
      <w:r>
        <w:t>претензия и ответ;</w:t>
      </w:r>
    </w:p>
    <w:p>
      <w:pPr>
        <w:pStyle w:val="ListBullet"/>
        <w:numPr>
          <w:ilvl w:val="0"/>
          <w:numId w:val="11"/>
        </w:numPr>
      </w:pPr>
      <w:r>
        <w:t>доказательства по дополнительным услугам;</w:t>
      </w:r>
    </w:p>
    <w:p>
      <w:pPr>
        <w:pStyle w:val="ListBullet"/>
        <w:numPr>
          <w:ilvl w:val="0"/>
          <w:numId w:val="11"/>
        </w:numPr>
      </w:pPr>
      <w:r>
        <w:t>документы о направлении.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12, 35, 56, 57, 149 и 150 ГПК РФ; статьи 333, 809 и 811 ГК РФ; Федеральные законы № 353-ФЗ и № 151-ФЗ в редакции, применимой к договору.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№337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