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покупателя на иск об отсутствии согласия супруга продавца</w:t>
      </w:r>
    </w:p>
    <w:p>
      <w:pPr>
        <w:pStyle w:val="SmallNote"/>
      </w:pPr>
      <w:r>
        <w:t>Категория: Заявления  •  Статья сайта: №228</w:t>
      </w:r>
    </w:p>
    <w:p>
      <w:pPr>
        <w:pStyle w:val="SmallNote"/>
      </w:pPr>
      <w:r>
        <w:rPr>
          <w:color w:val="676767"/>
        </w:rPr>
        <w:t>Структура: ВОЗРАЖЕНИЯ: суд и дело • обстоятельства • правовая позиция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Покупатель защищается по иску супруга продавца и оспаривает общий режим квартиры, отсутствие согласия, срок или заявленные последствия.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ответчика-покупателя: [данные]</w:t>
      </w:r>
    </w:p>
    <w:p>
      <w:pPr>
        <w:spacing w:after="40"/>
        <w:jc w:val="left"/>
      </w:pPr>
      <w:r>
        <w:rPr>
          <w:color w:val="14213D"/>
          <w:sz w:val="20"/>
        </w:rPr>
        <w:t>Истец и другие лица: [данные]</w:t>
      </w:r>
    </w:p>
    <w:p>
      <w:pPr>
        <w:pStyle w:val="Heading1"/>
      </w:pPr>
      <w:r>
        <w:t>ВОЗРАЖЕНИЯ НА ИСК О НЕДЕЙСТВИТЕЛЬНОСТИ ПРОДАЖИ КВАРТИРЫ</w:t>
      </w:r>
    </w:p>
    <w:p>
      <w:pPr>
        <w:pStyle w:val="Heading2"/>
      </w:pPr>
      <w:r>
        <w:t>ОБСТОЯТЕЛЬСТВА</w:t>
      </w:r>
    </w:p>
    <w:p>
      <w:r>
        <w:t>Покупатель приобрёл квартиру [реквизиты] по договору от [дата], уплатил [сумма], зарегистрировал право [дата]. Перед сделкой проверены [ЕГРН, семейный статус, нотариальные сведения, заверения].</w:t>
      </w:r>
    </w:p>
    <w:p>
      <w:r>
        <w:t>Возражения: квартира была [личной/общей — доказательства]; согласие [имелось/не требовалось/охватывало сделку]; истец знал о продаже с [дата]; заявленные последствия не учитывают возврат цены, ипотеку или последующую сделку.</w:t>
      </w:r>
    </w:p>
    <w:p>
      <w:pPr>
        <w:pStyle w:val="Heading2"/>
      </w:pPr>
      <w:r>
        <w:t>ПРАВОВАЯ ПОЗИЦИЯ</w:t>
      </w:r>
    </w:p>
    <w:p>
      <w:r>
        <w:t>Суд должен установить режим имущества, требование нотариального согласия, соблюдение годичного срока по пункту 3 статьи 35 СК РФ, правила статьи 173.1 ГК РФ и двусторонние последствия статьи 167 ГК РФ. Одна ссылка на добросовестность не заменяет проверку специального основания, но относящиеся факты должны быть оценены.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возражения и доказательства.</w:t>
      </w:r>
    </w:p>
    <w:p>
      <w:pPr>
        <w:pStyle w:val="ListNumber"/>
        <w:numPr>
          <w:ilvl w:val="0"/>
          <w:numId w:val="10"/>
        </w:numPr>
      </w:pPr>
      <w:r>
        <w:t>Отказать в иске полностью/в части по изложенным основаниям.</w:t>
      </w:r>
    </w:p>
    <w:p>
      <w:pPr>
        <w:pStyle w:val="ListNumber"/>
        <w:numPr>
          <w:ilvl w:val="0"/>
          <w:numId w:val="10"/>
        </w:numPr>
      </w:pPr>
      <w:r>
        <w:t>При признании сделки недействительной применить полные встречные последствия, включая возврат фактически уплаченной цены и учёт обременений.</w:t>
      </w:r>
    </w:p>
    <w:p>
      <w:pPr>
        <w:pStyle w:val="ListNumber"/>
        <w:numPr>
          <w:ilvl w:val="0"/>
          <w:numId w:val="10"/>
        </w:numPr>
      </w:pPr>
      <w:r>
        <w:t>Привлечь необходимых участников и истребовать нотариальные, регистрационные и банковские документы.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заявляйте, что регистрация ЕГРН сама по себе исключает иск супруга. Сильная защита строится на режиме имущества, согласии, сроке и корректных последствиях.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возражений;</w:t>
      </w:r>
    </w:p>
    <w:p>
      <w:pPr>
        <w:pStyle w:val="ListBullet"/>
        <w:numPr>
          <w:ilvl w:val="0"/>
          <w:numId w:val="11"/>
        </w:numPr>
      </w:pPr>
      <w:r>
        <w:t>договор и акт;</w:t>
      </w:r>
    </w:p>
    <w:p>
      <w:pPr>
        <w:pStyle w:val="ListBullet"/>
        <w:numPr>
          <w:ilvl w:val="0"/>
          <w:numId w:val="11"/>
        </w:numPr>
      </w:pPr>
      <w:r>
        <w:t>платёжные и банковские документы;</w:t>
      </w:r>
    </w:p>
    <w:p>
      <w:pPr>
        <w:pStyle w:val="ListBullet"/>
        <w:numPr>
          <w:ilvl w:val="0"/>
          <w:numId w:val="11"/>
        </w:numPr>
      </w:pPr>
      <w:r>
        <w:t>выписки ЕГРН;</w:t>
      </w:r>
    </w:p>
    <w:p>
      <w:pPr>
        <w:pStyle w:val="ListBullet"/>
        <w:numPr>
          <w:ilvl w:val="0"/>
          <w:numId w:val="11"/>
        </w:numPr>
      </w:pPr>
      <w:r>
        <w:t>нотариальные документы и заверения продавца;</w:t>
      </w:r>
    </w:p>
    <w:p>
      <w:pPr>
        <w:pStyle w:val="ListBullet"/>
        <w:numPr>
          <w:ilvl w:val="0"/>
          <w:numId w:val="11"/>
        </w:numPr>
      </w:pPr>
      <w:r>
        <w:t>доказательства режима имущества;</w:t>
      </w:r>
    </w:p>
    <w:p>
      <w:pPr>
        <w:pStyle w:val="ListBullet"/>
        <w:numPr>
          <w:ilvl w:val="0"/>
          <w:numId w:val="11"/>
        </w:numPr>
      </w:pPr>
      <w:r>
        <w:t>доказательства осведомлённости истца;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34–36 СК РФ; статьи 166–167, 173.1 и 181 ГК РФ; статьи 35, 40, 55–57, 67, 149 и 150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