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супруга на положение о продаже общего имущества в банкротстве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№333</w:t>
      </w:r>
    </w:p>
    <w:p>
      <w:pPr>
        <w:spacing w:after="160"/>
      </w:pPr>
      <w:r>
        <w:rPr>
          <w:b/>
          <w:color w:val="676767"/>
          <w:sz w:val="19"/>
        </w:rPr>
        <w:t>Структура: ДОКУМЕНТ ПО АПК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Подаются до утверждения условий продажи, если положение неверно описывает объект, долю супруга, начальную цену, порядок доступа, залог или выплату части выручки.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Арбитражный суд [субъект РФ]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Супруг должника: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Финансовый управляющий: [ФИО]</w:t>
      </w:r>
    </w:p>
    <w:p>
      <w:pPr>
        <w:spacing w:after="40"/>
        <w:jc w:val="left"/>
      </w:pPr>
      <w:r>
        <w:rPr>
          <w:color w:val="14213D"/>
          <w:sz w:val="20"/>
        </w:rPr>
        <w:t>Должник: [ФИО]</w:t>
      </w:r>
    </w:p>
    <w:p>
      <w:pPr>
        <w:pStyle w:val="Heading1"/>
      </w:pPr>
      <w:r>
        <w:t>ВОЗРАЖЕНИЯ НА ПОЛОЖЕНИЕ О ПОРЯДКЕ, СРОКАХ И УСЛОВИЯХ ПРОДАЖИ ОБЩЕГО ИМУЩЕСТВА</w:t>
      </w:r>
    </w:p>
    <w:p>
      <w:r>
        <w:t>Финансовый управляющий представил положение о продаже [объект]. Имущество является общим имуществом супругов, однако проект [не учитывает долю / содержит неверную цену / объединяет объекты / не предусматривает выплату супругу / иное].</w:t>
      </w:r>
    </w:p>
    <w:p>
      <w:pPr>
        <w:pStyle w:val="Heading2"/>
      </w:pPr>
      <w:r>
        <w:t>ВОЗРАЖЕНИЯ</w:t>
      </w:r>
    </w:p>
    <w:p>
      <w:pPr>
        <w:pStyle w:val="ListNumber"/>
        <w:numPr>
          <w:ilvl w:val="0"/>
          <w:numId w:val="10"/>
        </w:numPr>
      </w:pPr>
      <w:r>
        <w:t>Начальная цена [не подтверждена актуальной оценкой / не учитывает характеристики объекта].</w:t>
      </w:r>
    </w:p>
    <w:p>
      <w:pPr>
        <w:pStyle w:val="ListNumber"/>
        <w:numPr>
          <w:ilvl w:val="0"/>
          <w:numId w:val="10"/>
        </w:numPr>
      </w:pPr>
      <w:r>
        <w:t>Описание предмета торгов и обременений не соответствует [ЕГРН, фактическому состоянию].</w:t>
      </w:r>
    </w:p>
    <w:p>
      <w:pPr>
        <w:pStyle w:val="ListNumber"/>
        <w:numPr>
          <w:ilvl w:val="0"/>
          <w:numId w:val="10"/>
        </w:numPr>
      </w:pPr>
      <w:r>
        <w:t>Порядок распределения выручки не отражает право супруга на соответствующую долю с учётом специальных правил.</w:t>
      </w:r>
    </w:p>
    <w:p>
      <w:pPr>
        <w:pStyle w:val="ListNumber"/>
        <w:numPr>
          <w:ilvl w:val="0"/>
          <w:numId w:val="10"/>
        </w:numPr>
      </w:pPr>
      <w:r>
        <w:t>Условия осмотра и публикации [ограничивают конкуренцию / не обеспечивают сохранность].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Не утверждать положение в оспариваемой редакции.</w:t>
      </w:r>
    </w:p>
    <w:p>
      <w:pPr>
        <w:pStyle w:val="ListNumber"/>
        <w:numPr>
          <w:ilvl w:val="0"/>
          <w:numId w:val="10"/>
        </w:numPr>
      </w:pPr>
      <w:r>
        <w:t>Утвердить изменения: [точный текст пунктов] / обязать управляющего представить исправленный проект и расчёт.</w:t>
      </w:r>
    </w:p>
    <w:p>
      <w:pPr>
        <w:pStyle w:val="ListNumber"/>
        <w:numPr>
          <w:ilvl w:val="0"/>
          <w:numId w:val="10"/>
        </w:numPr>
      </w:pPr>
      <w:r>
        <w:t>При необходимости назначить оценку / истребовать документы [перечень].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возражения и подтверждение направления;</w:t>
      </w:r>
    </w:p>
    <w:p>
      <w:pPr>
        <w:pStyle w:val="ListBullet"/>
        <w:numPr>
          <w:ilvl w:val="0"/>
          <w:numId w:val="11"/>
        </w:numPr>
      </w:pPr>
      <w:r>
        <w:t>проект положения;</w:t>
      </w:r>
    </w:p>
    <w:p>
      <w:pPr>
        <w:pStyle w:val="ListBullet"/>
        <w:numPr>
          <w:ilvl w:val="0"/>
          <w:numId w:val="11"/>
        </w:numPr>
      </w:pPr>
      <w:r>
        <w:t>отчёт оценщика;</w:t>
      </w:r>
    </w:p>
    <w:p>
      <w:pPr>
        <w:pStyle w:val="ListBullet"/>
        <w:numPr>
          <w:ilvl w:val="0"/>
          <w:numId w:val="11"/>
        </w:numPr>
      </w:pPr>
      <w:r>
        <w:t>ЕГРН и документы приобретения;</w:t>
      </w:r>
    </w:p>
    <w:p>
      <w:pPr>
        <w:pStyle w:val="ListBullet"/>
        <w:numPr>
          <w:ilvl w:val="0"/>
          <w:numId w:val="11"/>
        </w:numPr>
      </w:pPr>
      <w:r>
        <w:t>свидетельство о браке;</w:t>
      </w:r>
    </w:p>
    <w:p>
      <w:pPr>
        <w:pStyle w:val="ListBullet"/>
        <w:numPr>
          <w:ilvl w:val="0"/>
          <w:numId w:val="11"/>
        </w:numPr>
      </w:pPr>
      <w:r>
        <w:t>доказательства долей и общих обязательств;</w:t>
      </w:r>
    </w:p>
    <w:p>
      <w:pPr>
        <w:pStyle w:val="ListBullet"/>
        <w:numPr>
          <w:ilvl w:val="0"/>
          <w:numId w:val="11"/>
        </w:numPr>
      </w:pPr>
      <w:r>
        <w:t>альтернативная редакция спорных пунктов.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60, 110, 111, 139, 213.25 и 213.26 Федерального закона № 127-ФЗ; статьи 34, 38 и 39 СК РФ; статьи 41, 65, 66, 71 и 223 АПК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