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Возражения на требование о возмещении вреда охотничьим ресурсам после ДТП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№298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Подаются органу или иному заявителю, который требует стоимость погибшего дикого животного. Документ не отрицает ответственность автоматически, а требует доказать полномочия, состав вреда и правильность расчёта.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[орган / учреждение, направившее требование]</w:t>
      </w:r>
    </w:p>
    <w:p>
      <w:pPr>
        <w:spacing w:after="40"/>
        <w:jc w:val="left"/>
      </w:pPr>
      <w:r>
        <w:rPr>
          <w:color w:val="14213D"/>
          <w:sz w:val="20"/>
        </w:rPr>
        <w:t>От: [ФИО водителя / собственника,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Требование: [дата, номер, сумма]</w:t>
      </w:r>
    </w:p>
    <w:p>
      <w:pPr>
        <w:spacing w:after="40"/>
        <w:jc w:val="left"/>
      </w:pPr>
      <w:r>
        <w:rPr>
          <w:color w:val="14213D"/>
          <w:sz w:val="20"/>
        </w:rPr>
        <w:t>Материал ДТП: [номер, подразделение]</w:t>
      </w:r>
    </w:p>
    <w:p>
      <w:pPr>
        <w:pStyle w:val="Heading1"/>
      </w:pPr>
      <w:r>
        <w:t>ВОЗРАЖЕНИЯ НА ТРЕБОВАНИЕ О ВОЗМЕЩЕНИИ ВРЕДА ОХОТНИЧЬИМ РЕСУРСАМ</w:t>
      </w:r>
    </w:p>
    <w:p>
      <w:pPr>
        <w:pStyle w:val="Heading2"/>
      </w:pPr>
      <w:r>
        <w:t>ОБСТОЯТЕЛЬСТВА</w:t>
      </w:r>
    </w:p>
    <w:p>
      <w:r>
        <w:t>[Дата] получено требование о взыскании [сумма] руб. в связи со столкновением [дата, место] с [указанный вид животного]. С требованием [не согласен полностью / согласен частично] по следующим причинам.</w:t>
      </w:r>
    </w:p>
    <w:p>
      <w:r>
        <w:t>Не представлены либо требуют проверки: [полномочия заявителя; доказательство вида и гибели животного; связь повреждения с данным ДТП; постановление и схема; применённая такса и коэффициенты; наличие страховой выплаты; вина и обстоятельства неизбежности].</w:t>
      </w:r>
    </w:p>
    <w:p>
      <w:pPr>
        <w:pStyle w:val="Heading2"/>
      </w:pPr>
      <w:r>
        <w:t>ПРАВОВЫЕ ОСНОВАНИЯ</w:t>
      </w:r>
    </w:p>
    <w:p>
      <w:r>
        <w:t>Размер вреда охотничьим ресурсам рассчитывается по специальной методике, а обязанность возмещения оценивается с учётом статей 1064, 1079 и 1083 ГК РФ, материалов ДТП и страхового покрытия. Одного факта гибели животного недостаточно для проверки конкретной суммы и надлежащего должника.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Предоставить документ о полномочиях заявителя требовать возмещение и полный материал фиксации события.</w:t>
      </w:r>
    </w:p>
    <w:p>
      <w:pPr>
        <w:pStyle w:val="ListNumber"/>
        <w:numPr>
          <w:ilvl w:val="0"/>
          <w:numId w:val="10"/>
        </w:numPr>
      </w:pPr>
      <w:r>
        <w:t>Предоставить расчёт по каждой позиции с указанием вида животного, таксы, коэффициентов и редакции методики на дату ДТП.</w:t>
      </w:r>
    </w:p>
    <w:p>
      <w:pPr>
        <w:pStyle w:val="ListNumber"/>
        <w:numPr>
          <w:ilvl w:val="0"/>
          <w:numId w:val="10"/>
        </w:numPr>
      </w:pPr>
      <w:r>
        <w:t>Сообщить, направлялось ли требование страховщику по ОСАГО и какая сумма выплачена или заявлена, чтобы исключить повторное взыскание.</w:t>
      </w:r>
    </w:p>
    <w:p>
      <w:pPr>
        <w:pStyle w:val="ListNumber"/>
        <w:numPr>
          <w:ilvl w:val="0"/>
          <w:numId w:val="10"/>
        </w:numPr>
      </w:pPr>
      <w:r>
        <w:t>Пересмотреть требование с учётом представленных возражений и направить мотивированный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пишите, что отсутствие знака 1.27 всегда освобождает водителя. Знак, скорость, видимость, возможность предотвратить столкновение и содержание дороги оцениваются вместе.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полученное требование и расчёт;</w:t>
      </w:r>
    </w:p>
    <w:p>
      <w:pPr>
        <w:pStyle w:val="ListBullet"/>
        <w:numPr>
          <w:ilvl w:val="0"/>
          <w:numId w:val="11"/>
        </w:numPr>
      </w:pPr>
      <w:r>
        <w:t>материалы ГИБДД;</w:t>
      </w:r>
    </w:p>
    <w:p>
      <w:pPr>
        <w:pStyle w:val="ListBullet"/>
        <w:numPr>
          <w:ilvl w:val="0"/>
          <w:numId w:val="11"/>
        </w:numPr>
      </w:pPr>
      <w:r>
        <w:t>фото, видео и схема места;</w:t>
      </w:r>
    </w:p>
    <w:p>
      <w:pPr>
        <w:pStyle w:val="ListBullet"/>
        <w:numPr>
          <w:ilvl w:val="0"/>
          <w:numId w:val="11"/>
        </w:numPr>
      </w:pPr>
      <w:r>
        <w:t>полис ОСАГО и переписка со страховщиком;</w:t>
      </w:r>
    </w:p>
    <w:p>
      <w:pPr>
        <w:pStyle w:val="ListBullet"/>
        <w:numPr>
          <w:ilvl w:val="0"/>
          <w:numId w:val="11"/>
        </w:numPr>
      </w:pPr>
      <w:r>
        <w:t>ответ владельца дороги;</w:t>
      </w:r>
    </w:p>
    <w:p>
      <w:pPr>
        <w:pStyle w:val="ListBullet"/>
        <w:numPr>
          <w:ilvl w:val="0"/>
          <w:numId w:val="11"/>
        </w:numPr>
      </w:pPr>
      <w:r>
        <w:t>экспертные материалы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1064, 1079 и 1083 ГК РФ; Федеральный закон № 209-ФЗ; Федеральный закон № 7-ФЗ; Методика, утверждённая приказом Минприроды России от 08.12.2011 № 948; Федеральный закон № 40-ФЗ.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