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Встречный иск в арбитражный суд об установлении размера возмещения при изъятии коммерческой недвижимости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№301</w:t>
      </w:r>
    </w:p>
    <w:p>
      <w:pPr>
        <w:spacing w:after="160"/>
      </w:pPr>
      <w:r>
        <w:rPr>
          <w:b/>
          <w:color w:val="676767"/>
          <w:sz w:val="19"/>
        </w:rPr>
        <w:t>Структура: ИСК ПО АПК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деле по иску о принудительном изъятии, если встречное требование связано с первоначальным и совместное рассмотрение приведёт к быстрому и правильному разрешению спора.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арбитражный суд [субъект РФ]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Встречный истец: [реквизиты по ст. 125 АПК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[орган / организация-ходатай]</w:t>
      </w:r>
    </w:p>
    <w:p>
      <w:pPr>
        <w:spacing w:after="40"/>
        <w:jc w:val="left"/>
      </w:pPr>
      <w:r>
        <w:rPr>
          <w:color w:val="14213D"/>
          <w:sz w:val="20"/>
        </w:rPr>
        <w:t>Цена иска: [оспариваемая сумма / возмещение]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действующей редакции НК РФ]</w:t>
      </w:r>
    </w:p>
    <w:p>
      <w:pPr>
        <w:pStyle w:val="Heading1"/>
      </w:pPr>
      <w:r>
        <w:t>ВСТРЕЧНОЕ ИСКОВОЕ ЗАЯВЛЕНИЕ ОБ УСТАНОВЛЕНИИ РАЗМЕРА ВОЗМЕЩЕНИЯ</w:t>
      </w:r>
    </w:p>
    <w:p>
      <w:pPr>
        <w:pStyle w:val="Heading2"/>
      </w:pPr>
      <w:r>
        <w:t>ОПИСАТЕЛЬНАЯ ЧАСТЬ</w:t>
      </w:r>
    </w:p>
    <w:p>
      <w:r>
        <w:t>По первоначальному иску просят принудительно изъять [объекты] за [сумма] руб. Встречному истцу принадлежат [здание, право аренды, улучшения].</w:t>
      </w:r>
    </w:p>
    <w:p>
      <w:r>
        <w:t>Отчёт от [дата] не учитывает / занижает [позиции]. Независимая оценка — [сумма], убытки из-за переезда, простоя, переноса оборудования и прекращения договоров — [сумма], упущенная выгода — [сумма]. Итого — [сумма].</w:t>
      </w:r>
    </w:p>
    <w:p>
      <w:pPr>
        <w:pStyle w:val="Heading2"/>
      </w:pPr>
      <w:r>
        <w:t>МОТИВИРОВОЧНАЯ ЧАСТЬ</w:t>
      </w:r>
    </w:p>
    <w:p>
      <w:r>
        <w:t>В возмещение входят рыночная стоимость изымаемого имущества или прекращаемых прав, убытки и упущенная выгода. Они должны быть доказаны причинной связью с изъятием, документами и реальным, а не предполагаемым доходом.</w:t>
      </w:r>
    </w:p>
    <w:p>
      <w:pPr>
        <w:pStyle w:val="Heading2"/>
      </w:pPr>
      <w:r>
        <w:t>ПРОСИТЕЛЬНАЯ ЧАСТЬ</w:t>
      </w:r>
    </w:p>
    <w:p>
      <w:r>
        <w:t>На основании статей 15, 279–282 ГК РФ, статей 56.8–56.11 ЗК РФ, статей 27–28, 125–132 АПК РФ ПРОШУ:</w:t>
      </w:r>
    </w:p>
    <w:p>
      <w:pPr>
        <w:pStyle w:val="ListNumber"/>
        <w:numPr>
          <w:ilvl w:val="0"/>
          <w:numId w:val="10"/>
        </w:numPr>
      </w:pPr>
      <w:r>
        <w:t>Принять встречный иск и рассмотреть его совместно с первоначальным иском.</w:t>
      </w:r>
    </w:p>
    <w:p>
      <w:pPr>
        <w:pStyle w:val="ListNumber"/>
        <w:numPr>
          <w:ilvl w:val="0"/>
          <w:numId w:val="10"/>
        </w:numPr>
      </w:pPr>
      <w:r>
        <w:t>Определить размер возмещения за изымаемые [объекты и права] в сумме [сумма] руб., включая [позиции].</w:t>
      </w:r>
    </w:p>
    <w:p>
      <w:pPr>
        <w:pStyle w:val="ListNumber"/>
        <w:numPr>
          <w:ilvl w:val="0"/>
          <w:numId w:val="10"/>
        </w:numPr>
      </w:pPr>
      <w:r>
        <w:t>Обязать предоставить возмещение предварительно, до прекращения прав и передачи имущества.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первоначального иска о принудительном изъятии ещё нет, проверьте с юристом надлежащий способ защиты: название «встречный иск» без первоначального дела не подходит.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копий;</w:t>
      </w:r>
    </w:p>
    <w:p>
      <w:pPr>
        <w:pStyle w:val="ListBullet"/>
        <w:numPr>
          <w:ilvl w:val="0"/>
          <w:numId w:val="11"/>
        </w:numPr>
      </w:pPr>
      <w:r>
        <w:t>первоначальный иск и определение суда;</w:t>
      </w:r>
    </w:p>
    <w:p>
      <w:pPr>
        <w:pStyle w:val="ListBullet"/>
        <w:numPr>
          <w:ilvl w:val="0"/>
          <w:numId w:val="11"/>
        </w:numPr>
      </w:pPr>
      <w:r>
        <w:t>решение и проект соглашения;</w:t>
      </w:r>
    </w:p>
    <w:p>
      <w:pPr>
        <w:pStyle w:val="ListBullet"/>
        <w:numPr>
          <w:ilvl w:val="0"/>
          <w:numId w:val="11"/>
        </w:numPr>
      </w:pPr>
      <w:r>
        <w:t>документы на имущество и право аренды;</w:t>
      </w:r>
    </w:p>
    <w:p>
      <w:pPr>
        <w:pStyle w:val="ListBullet"/>
        <w:numPr>
          <w:ilvl w:val="0"/>
          <w:numId w:val="11"/>
        </w:numPr>
      </w:pPr>
      <w:r>
        <w:t>оценка и расчёт каждой позиции;</w:t>
      </w:r>
    </w:p>
    <w:p>
      <w:pPr>
        <w:pStyle w:val="ListBullet"/>
        <w:numPr>
          <w:ilvl w:val="0"/>
          <w:numId w:val="11"/>
        </w:numPr>
      </w:pPr>
      <w:r>
        <w:t>бухгалтерские документы и договоры;</w:t>
      </w:r>
    </w:p>
    <w:p>
      <w:pPr>
        <w:pStyle w:val="ListBullet"/>
        <w:numPr>
          <w:ilvl w:val="0"/>
          <w:numId w:val="11"/>
        </w:numPr>
      </w:pPr>
      <w:r>
        <w:t>предложения об изменении соглашения;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пошлине;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279–282 ГК РФ; статьи 56.8–56.11 ЗК РФ; статьи 27–28, 125–132 АПК РФ; статья 333.21 НК РФ; Федеральный закон № 135-ФЗ.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