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должностного лица]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ЗАПРОС РАБОТОДАТЕЛЮ О РАСКРЫТИИ ИЛИ УТРАТЕ ПЕРСОНАЛЬНЫХ ДАННЫХ РАБОТНИКОВ И ПРИНЯТЫХ МЕРАХ</w:t>
      </w:r>
    </w:p>
    <w:p>
      <w:r>
        <w:t>Работодатель является оператором персональных данных работников и при инциденте должен выполнить собственные обязанности. Запрос работника не заменяет уведомление Роскомнадзора оператором.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Как и когда работник узнал об утечке/неправомерном доступе.</w:t>
      </w:r>
    </w:p>
    <w:p>
      <w:pPr>
        <w:pStyle w:val="ListBullet"/>
      </w:pPr>
      <w:r>
        <w:t>Какие его данные предположительно затронуты.</w:t>
      </w:r>
    </w:p>
    <w:p>
      <w:pPr>
        <w:pStyle w:val="ListBullet"/>
      </w:pPr>
      <w:r>
        <w:t>Есть ли внешние признаки использования данных: звонки, займы, входы, рассылки.</w:t>
      </w:r>
    </w:p>
    <w:p>
      <w:pPr>
        <w:pStyle w:val="ListBullet"/>
      </w:pPr>
      <w:r>
        <w:t>Какие доказательства инцидента сохранены.</w:t>
      </w:r>
    </w:p>
    <w:p>
      <w:pPr>
        <w:pStyle w:val="Heading2"/>
      </w:pPr>
      <w:r>
        <w:t>Правовое основание</w:t>
      </w:r>
    </w:p>
    <w:p>
      <w:r>
        <w:t>Статьи 86–90 ТК РФ; статьи 14, 18.1, 19, 20 и 21 Федерального закона № 152-ФЗ.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Сообщить, какие персональные данные работника затронуты, дату выявления и предполагаемый круг получателей.</w:t>
      </w:r>
    </w:p>
    <w:p>
      <w:pPr>
        <w:pStyle w:val="ListNumber"/>
      </w:pPr>
      <w:r>
        <w:t>Сообщить, какие меры приняты для локализации и устранения последствий.</w:t>
      </w:r>
    </w:p>
    <w:p>
      <w:pPr>
        <w:pStyle w:val="ListNumber"/>
      </w:pPr>
      <w:r>
        <w:t>Сообщить, направлены ли предусмотренные законом уведомления в Роскомнадзор и проведено ли внутреннее расследование.</w:t>
      </w:r>
    </w:p>
    <w:p>
      <w:pPr>
        <w:pStyle w:val="ListNumber"/>
      </w:pPr>
      <w:r>
        <w:t>Прекратить неправомерную обработку, ограничить доступ, уточнить/блокировать/уничтожить данные в случаях и сроки, предусмотренные законом.</w:t>
      </w:r>
    </w:p>
    <w:p>
      <w:pPr>
        <w:pStyle w:val="ListNumber"/>
      </w:pPr>
      <w:r>
        <w:t>Сохранить журналы доступа, переписку и иные доказательства инцидента.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При инциденте, повлекшем нарушение прав субъектов, оператор уведомляет Роскомнадзор в течение 24 часов, а о результатах внутреннего расследования — в течение 72 часов.</w:t>
      </w:r>
    </w:p>
    <w:p>
      <w:pPr>
        <w:pStyle w:val="ListBullet"/>
      </w:pPr>
      <w:r>
        <w:t>Не публикуйте базу или данные коллег для доказательства утечки.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скриншоты/письма об утечке</w:t>
      </w:r>
    </w:p>
    <w:p>
      <w:pPr>
        <w:pStyle w:val="ListBullet"/>
      </w:pPr>
      <w:r>
        <w:t>уведомления банков/сервисов</w:t>
      </w:r>
    </w:p>
    <w:p>
      <w:pPr>
        <w:pStyle w:val="ListBullet"/>
      </w:pPr>
      <w:r>
        <w:t>документы о подозрительных операциях — при наличии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