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[орган дознания / следствия / подразделение полиции], материал / дело № [___]</w:t>
      </w:r>
    </w:p>
    <w:p>
      <w:r>
        <w:t>От: [ФИО], процессуальный статус: [уточнить], адрес и контакты: [___]; защитник: [ФИО адвоката, если участвует]</w:t>
      </w:r>
    </w:p>
    <w:p>
      <w:pPr>
        <w:pStyle w:val="Title"/>
      </w:pPr>
      <w:r>
        <w:t>ПИСЬМЕННАЯ ПОЗИЦИЯ ПО ПРОВЕРКЕ О НЕПРАВОМЕРНОМ ОБОРОТЕ СРЕДСТВ ПЛАТЕЖЕЙ / ДРОППЕРСТВЕ (СТ. 187 УК РФ)</w:t>
      </w:r>
    </w:p>
    <w:p>
      <w:r>
        <w:t>Настоящая позиция составляется только по фактическим обстоятельствам и после согласования с защитником. Она не предназначена для выдумывания версии или сокрытия движения денежных средств.</w:t>
      </w:r>
    </w:p>
    <w:p>
      <w:r>
        <w:t>По моей банковской карте/счёту [банк, последние цифры] прошли операции [даты, суммы]. Моя фактическая роль была следующей: [сам совершал операции / передал карту или доступ / доступ был похищен / действовал по указанию другого лица / иное]. Денежное вознаграждение или иная корыстная заинтересованность: [была/не была/что известно].</w:t>
      </w:r>
    </w:p>
    <w:p>
      <w:r>
        <w:t>Сохранились доказательства: [банковская выписка, переписка, звонки, геолокация, устройства, заявления о взломе, обращения в банк, данные получателей/отправителей].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Приобщить настоящие пояснения и перечисленные документы к материалу проверки/делу.</w:t>
      </w:r>
    </w:p>
    <w:p>
      <w:pPr>
        <w:pStyle w:val="ListNumber"/>
      </w:pPr>
      <w:r>
        <w:t>Установить, кто фактически получил доступ к электронному средству платежа, кто давал указания, кто совершал операции, кому принадлежали устройства/номера/аккаунты и где находились участники в момент операций.</w:t>
      </w:r>
    </w:p>
    <w:p>
      <w:pPr>
        <w:pStyle w:val="ListNumber"/>
      </w:pPr>
      <w:r>
        <w:t>Истребовать у банка и иных организаций технические сведения об авторизации и операциях в предусмотренном законом порядке, если они имеют значение для установления фактической роли лица.</w:t>
      </w:r>
    </w:p>
    <w:p>
      <w:pPr>
        <w:pStyle w:val="ListNumber"/>
      </w:pPr>
      <w:r>
        <w:t>Не подменять установление умысла, корыстной заинтересованности и конкретного действия одной лишь принадлежностью банковского счёта/карты.</w:t>
      </w:r>
    </w:p>
    <w:p>
      <w:pPr>
        <w:pStyle w:val="ListNumber"/>
      </w:pPr>
      <w:r>
        <w:t>Обеспечить участие защитника и вручать копии процессуальных документов в объёме, предусмотренном для моего процессуального статуса.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банковская выписка;</w:t>
      </w:r>
    </w:p>
    <w:p>
      <w:pPr>
        <w:pStyle w:val="ListBullet"/>
      </w:pPr>
      <w:r>
        <w:t>переписка и история звонков;</w:t>
      </w:r>
    </w:p>
    <w:p>
      <w:pPr>
        <w:pStyle w:val="ListBullet"/>
      </w:pPr>
      <w:r>
        <w:t>обращения в банк / заявление о компрометации (если было);</w:t>
      </w:r>
    </w:p>
    <w:p>
      <w:pPr>
        <w:pStyle w:val="ListBullet"/>
      </w:pPr>
      <w:r>
        <w:t>документы об устройстве, SIM и геолокации (если доступны законно);</w:t>
      </w:r>
    </w:p>
    <w:p>
      <w:pPr>
        <w:pStyle w:val="ListBullet"/>
      </w:pPr>
      <w:r>
        <w:t>иные подтверждения фактических обстоятельств.</w:t>
      </w:r>
    </w:p>
    <w:p>
      <w:r>
        <w:rPr>
          <w:b/>
        </w:rPr>
        <w:t xml:space="preserve">Важно: </w:t>
      </w:r>
      <w:r>
        <w:t>Примечание к статье 187 предусматривает специальное освобождение только для лица, впервые совершившего преступление по части 3 или 4, при одновременном выполнении установленных законом условий. Оно не применяется автоматически к частям 5–6 и не является гарантией результата.</w:t>
      </w:r>
    </w:p>
    <w:p>
      <w:r>
        <w:rPr>
          <w:b/>
        </w:rPr>
        <w:t xml:space="preserve">Правовая основа: </w:t>
      </w:r>
      <w:r>
        <w:t>статья 187 УК РФ, включая части 3–6 и примечания; статьи 46–49 и 75 УПК РФ; статья 51 Конституции РФ.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