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банку о временном лимите 50 000 рублей при снятии наличных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№466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Используется, если банк применил 48-часовой лимит в банкомате и клиент хочет подтвердить свою волю, узнать срок меры и получить наличные в отделении.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банк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От клиента: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Счёт / карта: [последние четыре цифры]</w:t>
      </w:r>
    </w:p>
    <w:p>
      <w:pPr>
        <w:pStyle w:val="Heading1"/>
      </w:pPr>
      <w:r>
        <w:t>ЗАЯВЛЕНИЕ О ПРИМЕНЁННОМ ОГРАНИЧЕНИИ НА ВЫДАЧУ НАЛИЧНЫХ</w:t>
      </w:r>
    </w:p>
    <w:p>
      <w:r>
        <w:t>[Дата, время] в банкомате [адрес] при попытке снять [сумма] руб. банк уведомил меня о временном лимите до 50 000 руб. в сутки на 48 часов. Операцию инициировал(а) я / операцию инициировал не я: [выбрать].</w:t>
      </w:r>
    </w:p>
    <w:p>
      <w:r>
        <w:t>Я не выполняю указания неизвестных лиц и обратился(ась) в банк по официальному каналу. Номер обращения: [номер].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Сообщить, применена ли мера по статье 24.3-1 Закона № 395-1, время её начала и окончания.</w:t>
      </w:r>
    </w:p>
    <w:p>
      <w:pPr>
        <w:pStyle w:val="ListNumber"/>
        <w:numPr>
          <w:ilvl w:val="0"/>
          <w:numId w:val="10"/>
        </w:numPr>
      </w:pPr>
      <w:r>
        <w:t>Разъяснить порядок получения необходимой суммы в отделении банка с идентификацией личности.</w:t>
      </w:r>
    </w:p>
    <w:p>
      <w:pPr>
        <w:pStyle w:val="ListNumber"/>
        <w:numPr>
          <w:ilvl w:val="0"/>
          <w:numId w:val="10"/>
        </w:numPr>
      </w:pPr>
      <w:r>
        <w:t>Если операция не моя, немедленно заблокировать карту и доступ и зарегистрировать заявление о спорной операции.</w:t>
      </w:r>
    </w:p>
    <w:p>
      <w:pPr>
        <w:pStyle w:val="ListNumber"/>
        <w:numPr>
          <w:ilvl w:val="0"/>
          <w:numId w:val="10"/>
        </w:numPr>
      </w:pPr>
      <w:r>
        <w:t>После истечения 48 часов снять специальный лимит, если отсутствует иное самостоятельное законное основание ограничения.</w:t>
      </w:r>
    </w:p>
    <w:p>
      <w:pPr>
        <w:pStyle w:val="ListNumber"/>
        <w:numPr>
          <w:ilvl w:val="0"/>
          <w:numId w:val="10"/>
        </w:numPr>
      </w:pPr>
      <w:r>
        <w:t>Предоставить письменный ответ и номер зарегистрированного обращения.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Банк не обязан раскрывать внутренний антифрод-алгоритм. Требуйте понятный вид меры, срок и способ получить деньги законным путём.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уведомление банка;</w:t>
      </w:r>
    </w:p>
    <w:p>
      <w:pPr>
        <w:pStyle w:val="ListBullet"/>
        <w:numPr>
          <w:ilvl w:val="0"/>
          <w:numId w:val="11"/>
        </w:numPr>
      </w:pPr>
      <w:r>
        <w:t>снимок экрана или чек банкомата;</w:t>
      </w:r>
    </w:p>
    <w:p>
      <w:pPr>
        <w:pStyle w:val="ListBullet"/>
        <w:numPr>
          <w:ilvl w:val="0"/>
          <w:numId w:val="11"/>
        </w:numPr>
      </w:pPr>
      <w:r>
        <w:t>паспорт;</w:t>
      </w:r>
    </w:p>
    <w:p>
      <w:pPr>
        <w:pStyle w:val="ListBullet"/>
        <w:numPr>
          <w:ilvl w:val="0"/>
          <w:numId w:val="11"/>
        </w:numPr>
      </w:pPr>
      <w:r>
        <w:t>сведения о срочной потребности — при наличии;</w:t>
      </w:r>
    </w:p>
    <w:p>
      <w:pPr>
        <w:pStyle w:val="ListBullet"/>
        <w:numPr>
          <w:ilvl w:val="0"/>
          <w:numId w:val="11"/>
        </w:numPr>
      </w:pPr>
      <w:r>
        <w:t>предыдущий номер обращения.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24.3-1 Федерального закона № 395-1; нормативный акт Банка России о признаках выдачи наличных без добровольного согласия клиента; договор банковского счёта.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