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банку о списании денег без выдачи наличных банкоматом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Основное срочное обращение в банк, выпустивший карту. Если банкомат принадлежит другому банку, заявление всё равно сначала регистрируется у банка-эмитента, а владельца банкомата указывают отдельно.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[банк-эмитент]</w:t>
      </w:r>
    </w:p>
    <w:p>
      <w:pPr>
        <w:spacing w:after="40"/>
        <w:jc w:val="left"/>
      </w:pPr>
      <w:r>
        <w:rPr>
          <w:color w:val="14213D"/>
          <w:sz w:val="20"/>
        </w:rPr>
        <w:t>Копия: [банк-владелец банкомата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Карта: последние четыре цифры [____]</w:t>
      </w:r>
    </w:p>
    <w:p>
      <w:pPr>
        <w:spacing w:after="40"/>
        <w:jc w:val="left"/>
      </w:pPr>
      <w:r>
        <w:rPr>
          <w:color w:val="14213D"/>
          <w:sz w:val="20"/>
        </w:rPr>
        <w:t>Банкомат: [банк, адрес, номер]; операция: [дата, время, сумма]</w:t>
      </w:r>
    </w:p>
    <w:p>
      <w:pPr>
        <w:pStyle w:val="Heading1"/>
      </w:pPr>
      <w:r>
        <w:t>ЗАЯВЛЕНИЕ О СПИСАНИИ ДЕНЕГ БЕЗ ВЫДАЧИ НАЛИЧНЫХ</w:t>
      </w:r>
    </w:p>
    <w:p>
      <w:r>
        <w:t>[Дата, время] я запросил(а) в банкомате [сумма] руб. Банкомат наличные [не выдал / выдал частично — сколько], но по счёту отражено списание [сумма] руб. Операцию совершал(а) лично.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спорную операцию и сообщить её номер.</w:t>
      </w:r>
    </w:p>
    <w:p>
      <w:pPr>
        <w:pStyle w:val="ListNumber"/>
        <w:numPr>
          <w:ilvl w:val="0"/>
          <w:numId w:val="10"/>
        </w:numPr>
      </w:pPr>
      <w:r>
        <w:t>Запросить и сохранить электронный журнал банкомата, результаты сверки кассет, инкассации, остатки и записи камер за указанное время.</w:t>
      </w:r>
    </w:p>
    <w:p>
      <w:pPr>
        <w:pStyle w:val="ListNumber"/>
        <w:numPr>
          <w:ilvl w:val="0"/>
          <w:numId w:val="10"/>
        </w:numPr>
      </w:pPr>
      <w:r>
        <w:t>Восстановить на счёте необоснованно списанную сумму [сумма] руб. после проверки.</w:t>
      </w:r>
    </w:p>
    <w:p>
      <w:pPr>
        <w:pStyle w:val="ListNumber"/>
        <w:numPr>
          <w:ilvl w:val="0"/>
          <w:numId w:val="10"/>
        </w:numPr>
      </w:pPr>
      <w:r>
        <w:t>Сообщить мотивированное решение и предоставить допустимые сведения о проведённой проверке.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заявляйте о мошенничестве, если операцию инициировали сами. Точный адрес, время и номер банкомата критичны для сверки кассет и журнала.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выписка или уведомление о списании;</w:t>
      </w:r>
    </w:p>
    <w:p>
      <w:pPr>
        <w:pStyle w:val="ListBullet"/>
        <w:numPr>
          <w:ilvl w:val="0"/>
          <w:numId w:val="11"/>
        </w:numPr>
      </w:pPr>
      <w:r>
        <w:t>чек банкомата — если выдан;</w:t>
      </w:r>
    </w:p>
    <w:p>
      <w:pPr>
        <w:pStyle w:val="ListBullet"/>
        <w:numPr>
          <w:ilvl w:val="0"/>
          <w:numId w:val="11"/>
        </w:numPr>
      </w:pPr>
      <w:r>
        <w:t>фото банкомата и номера;</w:t>
      </w:r>
    </w:p>
    <w:p>
      <w:pPr>
        <w:pStyle w:val="ListBullet"/>
        <w:numPr>
          <w:ilvl w:val="0"/>
          <w:numId w:val="11"/>
        </w:numPr>
      </w:pPr>
      <w:r>
        <w:t>копия первичного обращения;</w:t>
      </w:r>
    </w:p>
    <w:p>
      <w:pPr>
        <w:pStyle w:val="ListBullet"/>
        <w:numPr>
          <w:ilvl w:val="0"/>
          <w:numId w:val="11"/>
        </w:numPr>
      </w:pPr>
      <w:r>
        <w:t>доказательства фактически полученной суммы — при частичной выдаче.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309, 310, 845 и 856 ГК РФ; статья 9 Федерального закона № 161-ФЗ; Закон РФ № 2300-1 — при применимости; договор банковского счёта и правила платёжной системы.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