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ЗАЯВЛЕНИЕ ДОЛЖНИКА — ЮРИДИЧЕСКОГО ЛИЦА О ПРИЗНАНИИ НЕСОСТОЯТЕЛЬНЫМ (БАНКРОТОМ)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9, 37–38 Закона № 127-ФЗ; статьи 223–224 АПК РФ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В Арбитражный суд [субъект РФ]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Должник: ООО [___], ОГРН [___], ИНН [___], адрес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Представитель/руководитель: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Основания обращения должника</w:t>
      </w:r>
    </w:p>
    <w:p>
      <w:pPr>
        <w:pStyle w:val="ListBullet"/>
        <w:spacing w:after="40" w:line="245" w:lineRule="auto"/>
      </w:pPr>
      <w:r>
        <w:t>На [дата] имеются обстоятельства, создающие обязанность/право должника обратиться в суд: [невозможность расчёта с одними кредиторами без прекращения расчётов с другими / неплатёжеспособность / недостаточность имущества / взыскание, парализующее деятельность / иное основание ст. 9].</w:t>
      </w:r>
    </w:p>
    <w:p>
      <w:pPr>
        <w:pStyle w:val="ListBullet"/>
        <w:spacing w:after="40" w:line="245" w:lineRule="auto"/>
      </w:pPr>
      <w:r>
        <w:t>Общий размер обязательств: [___] руб.; просрочено: [___] руб.</w:t>
      </w:r>
    </w:p>
    <w:p>
      <w:pPr>
        <w:pStyle w:val="ListBullet"/>
        <w:spacing w:after="40" w:line="245" w:lineRule="auto"/>
      </w:pPr>
      <w:r>
        <w:t>Активы: [___]; дебиторская задолженность: [___]; денежные средства: [___].</w:t>
      </w:r>
    </w:p>
    <w:p>
      <w:pPr>
        <w:pStyle w:val="ListBullet"/>
        <w:spacing w:after="40" w:line="245" w:lineRule="auto"/>
      </w:pPr>
      <w:r>
        <w:t>Работники и задолженность по оплате труда: [___].</w:t>
      </w:r>
    </w:p>
    <w:p>
      <w:pPr>
        <w:pStyle w:val="ListBullet"/>
        <w:spacing w:after="40" w:line="245" w:lineRule="auto"/>
      </w:pPr>
      <w:r>
        <w:t>Судебные споры и исполнительные производства: [___].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fill="D9EAF7"/>
          </w:tcPr>
          <w:p>
            <w:r>
              <w:t>Вид задолженности</w:t>
            </w:r>
          </w:p>
        </w:tc>
        <w:tc>
          <w:tcPr>
            <w:tcW w:type="dxa" w:w="2040"/>
            <w:shd w:fill="D9EAF7"/>
          </w:tcPr>
          <w:p>
            <w:r>
              <w:t>Кредитор</w:t>
            </w:r>
          </w:p>
        </w:tc>
        <w:tc>
          <w:tcPr>
            <w:tcW w:type="dxa" w:w="2040"/>
            <w:shd w:fill="D9EAF7"/>
          </w:tcPr>
          <w:p>
            <w:r>
              <w:t>Сумма</w:t>
            </w:r>
          </w:p>
        </w:tc>
        <w:tc>
          <w:tcPr>
            <w:tcW w:type="dxa" w:w="2040"/>
            <w:shd w:fill="D9EAF7"/>
          </w:tcPr>
          <w:p>
            <w:r>
              <w:t>Срок</w:t>
            </w:r>
          </w:p>
        </w:tc>
        <w:tc>
          <w:tcPr>
            <w:tcW w:type="dxa" w:w="2040"/>
            <w:shd w:fill="D9EAF7"/>
          </w:tcPr>
          <w:p>
            <w:r>
              <w:t>Основание</w:t>
            </w:r>
          </w:p>
        </w:tc>
      </w:tr>
      <w:tr>
        <w:tc>
          <w:tcPr>
            <w:tcW w:type="dxa" w:w="2040"/>
          </w:tcPr>
          <w:p>
            <w:r>
              <w:t>Договорная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</w:tr>
      <w:tr>
        <w:tc>
          <w:tcPr>
            <w:tcW w:type="dxa" w:w="2040"/>
          </w:tcPr>
          <w:p>
            <w:r>
              <w:t>Налоги/взносы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</w:tr>
      <w:tr>
        <w:tc>
          <w:tcPr>
            <w:tcW w:type="dxa" w:w="2040"/>
          </w:tcPr>
          <w:p>
            <w:r>
              <w:t>Работники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</w:tr>
      <w:tr>
        <w:tc>
          <w:tcPr>
            <w:tcW w:type="dxa" w:w="2040"/>
          </w:tcPr>
          <w:p>
            <w:r>
              <w:t>Иное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  <w:tc>
          <w:tcPr>
            <w:tcW w:type="dxa" w:w="2040"/>
          </w:tcPr>
          <w:p>
            <w:r>
              <w:t>[___]</w:t>
            </w:r>
          </w:p>
        </w:tc>
      </w:tr>
    </w:tbl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СРО и финансовый управляющий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Указать саморегулируемую организацию, из числа членов которой должен быть утверждён арбитражный управляющий, в порядке, действующем на дату подачи. Не предлагать конкретного управляющего, если закон этого не допускает.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Госпошлина и расходы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При обращении самого должника с заявлением о признании его банкротом государственная пошлина не взимается. Отдельно проверить действующие требования к финансированию процедуры и приложить подтверждения, если они обязательны для конкретной подачи.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СУД</w:t>
      </w:r>
    </w:p>
    <w:p>
      <w:pPr>
        <w:pStyle w:val="ListNumber"/>
        <w:spacing w:after="40" w:line="245" w:lineRule="auto"/>
      </w:pPr>
      <w:r>
        <w:t>Принять заявление ООО [___].</w:t>
      </w:r>
    </w:p>
    <w:p>
      <w:pPr>
        <w:pStyle w:val="ListNumber"/>
        <w:spacing w:after="40" w:line="245" w:lineRule="auto"/>
      </w:pPr>
      <w:r>
        <w:t>Признать должника несостоятельным (банкротом) и ввести применимую процедуру по закону.</w:t>
      </w:r>
    </w:p>
    <w:p>
      <w:pPr>
        <w:pStyle w:val="ListNumber"/>
        <w:spacing w:after="40" w:line="245" w:lineRule="auto"/>
      </w:pPr>
      <w:r>
        <w:t>Утвердить арбитражного управляющего в установленном законом порядке.</w:t>
      </w:r>
    </w:p>
    <w:p>
      <w:pPr>
        <w:pStyle w:val="ListNumber"/>
        <w:spacing w:after="40" w:line="245" w:lineRule="auto"/>
      </w:pPr>
      <w:r>
        <w:t>Рассмотреть приложенные ходатайства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доказательства задолженности и неплатёжеспособности</w:t>
      </w:r>
    </w:p>
    <w:p>
      <w:pPr>
        <w:pStyle w:val="ListBullet"/>
        <w:spacing w:after="40" w:line="245" w:lineRule="auto"/>
      </w:pPr>
      <w:r>
        <w:t>учредительные документы и актуальная выписка ЕГРЮЛ</w:t>
      </w:r>
    </w:p>
    <w:p>
      <w:pPr>
        <w:pStyle w:val="ListBullet"/>
        <w:spacing w:after="40" w:line="245" w:lineRule="auto"/>
      </w:pPr>
      <w:r>
        <w:t>бухгалтерская отчётность и инвентаризация</w:t>
      </w:r>
    </w:p>
    <w:p>
      <w:pPr>
        <w:pStyle w:val="ListBullet"/>
        <w:spacing w:after="40" w:line="245" w:lineRule="auto"/>
      </w:pPr>
      <w:r>
        <w:t>список кредиторов и должников с расшифровкой</w:t>
      </w:r>
    </w:p>
    <w:p>
      <w:pPr>
        <w:pStyle w:val="ListBullet"/>
        <w:spacing w:after="40" w:line="245" w:lineRule="auto"/>
      </w:pPr>
      <w:r>
        <w:t>документы работников и задолженности по зарплате</w:t>
      </w:r>
    </w:p>
    <w:p>
      <w:pPr>
        <w:pStyle w:val="ListBullet"/>
        <w:spacing w:after="40" w:line="245" w:lineRule="auto"/>
      </w:pPr>
      <w:r>
        <w:t>сведения об имуществе, счетах и дебиторах</w:t>
      </w:r>
    </w:p>
    <w:p>
      <w:pPr>
        <w:pStyle w:val="ListBullet"/>
        <w:spacing w:after="40" w:line="245" w:lineRule="auto"/>
      </w:pPr>
      <w:r>
        <w:t>судебные акты и исполнительные документы</w:t>
      </w:r>
    </w:p>
    <w:p>
      <w:pPr>
        <w:pStyle w:val="ListBullet"/>
        <w:spacing w:after="40" w:line="245" w:lineRule="auto"/>
      </w:pPr>
      <w:r>
        <w:t>решение органа управления о подаче заявления — когда требуется</w:t>
      </w:r>
    </w:p>
    <w:p>
      <w:pPr>
        <w:pStyle w:val="ListBullet"/>
        <w:spacing w:after="40" w:line="245" w:lineRule="auto"/>
      </w:pPr>
      <w:r>
        <w:t>доказательства публикаций/уведомлений и иных обязательных действий</w:t>
      </w:r>
    </w:p>
    <w:p>
      <w:pPr>
        <w:pStyle w:val="ListBullet"/>
        <w:spacing w:after="40" w:line="245" w:lineRule="auto"/>
      </w:pPr>
      <w:r>
        <w:t>иные документы ст. 38 Закона о банкротстве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